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bidiVisual/>
        <w:tblW w:w="10432" w:type="dxa"/>
        <w:jc w:val="center"/>
        <w:tblLook w:val="04A0" w:firstRow="1" w:lastRow="0" w:firstColumn="1" w:lastColumn="0" w:noHBand="0" w:noVBand="1"/>
      </w:tblPr>
      <w:tblGrid>
        <w:gridCol w:w="1134"/>
        <w:gridCol w:w="8164"/>
        <w:gridCol w:w="1134"/>
      </w:tblGrid>
      <w:tr w:rsidR="00A8538B" w:rsidRPr="00EA0E56" w14:paraId="2C66972A" w14:textId="77777777" w:rsidTr="00CA64ED">
        <w:trPr>
          <w:trHeight w:val="1071"/>
          <w:jc w:val="center"/>
        </w:trPr>
        <w:tc>
          <w:tcPr>
            <w:tcW w:w="1134" w:type="dxa"/>
            <w:shd w:val="clear" w:color="auto" w:fill="0F1E64"/>
          </w:tcPr>
          <w:p w14:paraId="088D7386" w14:textId="77777777" w:rsidR="00A8538B" w:rsidRPr="00EA0E56" w:rsidRDefault="00A8538B" w:rsidP="00CA64ED">
            <w:pPr>
              <w:pStyle w:val="a1"/>
              <w:rPr>
                <w:color w:val="000000"/>
                <w:rtl/>
              </w:rPr>
            </w:pPr>
          </w:p>
        </w:tc>
        <w:tc>
          <w:tcPr>
            <w:tcW w:w="8164" w:type="dxa"/>
            <w:shd w:val="clear" w:color="auto" w:fill="0F1E64"/>
            <w:vAlign w:val="center"/>
          </w:tcPr>
          <w:p w14:paraId="35959CF1" w14:textId="77777777" w:rsidR="00A8538B" w:rsidRPr="00123AA0" w:rsidRDefault="00A8538B" w:rsidP="00CA64ED">
            <w:pPr>
              <w:pStyle w:val="a0"/>
              <w:rPr>
                <w:rFonts w:ascii="Traditional Arabic" w:hAnsi="Traditional Arabic" w:cs="Traditional Arabic"/>
                <w:sz w:val="28"/>
                <w:szCs w:val="28"/>
                <w:rtl/>
              </w:rPr>
            </w:pPr>
            <w:bookmarkStart w:id="0" w:name="_GoBack"/>
            <w:r w:rsidRPr="00382FBD">
              <w:rPr>
                <w:rFonts w:ascii="Traditional Arabic" w:hAnsi="Traditional Arabic" w:cs="Traditional Arabic"/>
                <w:sz w:val="32"/>
                <w:szCs w:val="32"/>
                <w:rtl/>
              </w:rPr>
              <w:t xml:space="preserve">استخدام نموذج </w:t>
            </w:r>
            <w:r w:rsidRPr="00382FBD">
              <w:rPr>
                <w:rFonts w:ascii="Traditional Arabic" w:hAnsi="Traditional Arabic" w:cs="Traditional Arabic"/>
                <w:sz w:val="32"/>
                <w:szCs w:val="32"/>
              </w:rPr>
              <w:t>Air Q2.2.3</w:t>
            </w:r>
            <w:r w:rsidRPr="00382FBD">
              <w:rPr>
                <w:rFonts w:ascii="Traditional Arabic" w:hAnsi="Traditional Arabic" w:cs="Traditional Arabic"/>
                <w:sz w:val="32"/>
                <w:szCs w:val="32"/>
                <w:rtl/>
              </w:rPr>
              <w:t xml:space="preserve"> للتنبؤ بحالات أمراض الجهاز التنفسي الناتجة من التعرض للأتربة الصدرية المستنشقة فى مدينة مكة المكرمة</w:t>
            </w:r>
            <w:bookmarkEnd w:id="0"/>
          </w:p>
        </w:tc>
        <w:tc>
          <w:tcPr>
            <w:tcW w:w="1134" w:type="dxa"/>
            <w:shd w:val="clear" w:color="auto" w:fill="0F1E64"/>
          </w:tcPr>
          <w:p w14:paraId="47B2AB68" w14:textId="77777777" w:rsidR="00A8538B" w:rsidRPr="00EA0E56" w:rsidRDefault="00A8538B" w:rsidP="00CA64ED">
            <w:pPr>
              <w:pStyle w:val="a1"/>
              <w:rPr>
                <w:color w:val="000000"/>
                <w:rtl/>
              </w:rPr>
            </w:pPr>
          </w:p>
        </w:tc>
      </w:tr>
      <w:tr w:rsidR="00A8538B" w:rsidRPr="00EA0E56" w14:paraId="74DD0795" w14:textId="77777777" w:rsidTr="00CA64ED">
        <w:trPr>
          <w:trHeight w:val="1984"/>
          <w:jc w:val="center"/>
        </w:trPr>
        <w:tc>
          <w:tcPr>
            <w:tcW w:w="1134" w:type="dxa"/>
            <w:shd w:val="clear" w:color="auto" w:fill="0F1E64"/>
          </w:tcPr>
          <w:p w14:paraId="76C1ECB0" w14:textId="77777777" w:rsidR="00A8538B" w:rsidRPr="00EA0E56" w:rsidRDefault="00A8538B" w:rsidP="00CA64ED">
            <w:pPr>
              <w:pStyle w:val="a1"/>
              <w:rPr>
                <w:color w:val="000000"/>
                <w:rtl/>
              </w:rPr>
            </w:pPr>
          </w:p>
        </w:tc>
        <w:tc>
          <w:tcPr>
            <w:tcW w:w="8164" w:type="dxa"/>
            <w:shd w:val="clear" w:color="auto" w:fill="0F1E64"/>
            <w:vAlign w:val="center"/>
          </w:tcPr>
          <w:p w14:paraId="08A21241" w14:textId="77777777" w:rsidR="00A8538B" w:rsidRDefault="00A8538B" w:rsidP="00CA64ED">
            <w:pPr>
              <w:pStyle w:val="a1"/>
              <w:rPr>
                <w:rFonts w:ascii="Hacen Liner XXL" w:eastAsiaTheme="majorEastAsia" w:hAnsi="Hacen Liner XXL" w:cs="Hacen Liner XXL"/>
                <w:color w:val="FFFFFF" w:themeColor="background1"/>
                <w:sz w:val="30"/>
                <w:szCs w:val="30"/>
                <w:rtl/>
              </w:rPr>
            </w:pPr>
          </w:p>
          <w:p w14:paraId="4CA2F3E5" w14:textId="77777777" w:rsidR="00A8538B" w:rsidRPr="00EA0E56" w:rsidRDefault="00A8538B" w:rsidP="00CA64ED">
            <w:pPr>
              <w:pStyle w:val="a1"/>
              <w:bidi w:val="0"/>
              <w:rPr>
                <w:color w:val="FFFFFF"/>
              </w:rPr>
            </w:pPr>
          </w:p>
          <w:p w14:paraId="22737F72" w14:textId="77777777" w:rsidR="00A8538B" w:rsidRPr="00EA0E56" w:rsidRDefault="00A8538B" w:rsidP="00CA64ED">
            <w:pPr>
              <w:pStyle w:val="a1"/>
              <w:jc w:val="center"/>
              <w:rPr>
                <w:color w:val="FFFFFF"/>
                <w:rtl/>
              </w:rPr>
            </w:pPr>
          </w:p>
        </w:tc>
        <w:tc>
          <w:tcPr>
            <w:tcW w:w="1134" w:type="dxa"/>
            <w:shd w:val="clear" w:color="auto" w:fill="0F1E64"/>
          </w:tcPr>
          <w:p w14:paraId="43ECF76E" w14:textId="77777777" w:rsidR="00A8538B" w:rsidRPr="00EA0E56" w:rsidRDefault="00A8538B" w:rsidP="00CA64ED">
            <w:pPr>
              <w:pStyle w:val="a1"/>
              <w:rPr>
                <w:color w:val="000000"/>
                <w:rtl/>
              </w:rPr>
            </w:pPr>
          </w:p>
        </w:tc>
      </w:tr>
    </w:tbl>
    <w:p w14:paraId="3FC66540" w14:textId="77777777" w:rsidR="00A8538B" w:rsidRPr="00EA0E56" w:rsidRDefault="00A8538B" w:rsidP="00A8538B">
      <w:pPr>
        <w:pStyle w:val="a5"/>
        <w:rPr>
          <w:color w:val="000000"/>
          <w:rtl/>
        </w:rPr>
      </w:pPr>
      <w:r w:rsidRPr="00EA0E56">
        <w:rPr>
          <w:color w:val="000000"/>
          <w:rtl/>
        </w:rPr>
        <w:t>الم</w:t>
      </w:r>
      <w:r w:rsidRPr="00EA0E56">
        <w:rPr>
          <w:rFonts w:hint="cs"/>
          <w:color w:val="000000"/>
          <w:rtl/>
        </w:rPr>
        <w:t>لخص</w:t>
      </w:r>
    </w:p>
    <w:p w14:paraId="39270EFC" w14:textId="77777777" w:rsidR="00A8538B" w:rsidRPr="00EA0E56" w:rsidRDefault="00A8538B" w:rsidP="00A8538B">
      <w:pPr>
        <w:pStyle w:val="a1"/>
        <w:rPr>
          <w:color w:val="000000"/>
          <w:rtl/>
        </w:rPr>
      </w:pPr>
      <w:r w:rsidRPr="00EA0E56">
        <w:rPr>
          <w:color w:val="000000"/>
          <w:rtl/>
        </w:rPr>
        <w:t xml:space="preserve">اهتمت هذه الدراسة بتقييم آثر الأتربة الصدرية </w:t>
      </w:r>
      <w:r w:rsidRPr="00EA0E56">
        <w:rPr>
          <w:rFonts w:hint="cs"/>
          <w:color w:val="000000"/>
          <w:rtl/>
        </w:rPr>
        <w:t xml:space="preserve">المستنشقة </w:t>
      </w:r>
      <w:r w:rsidRPr="00EA0E56">
        <w:rPr>
          <w:color w:val="000000"/>
          <w:rtl/>
        </w:rPr>
        <w:t xml:space="preserve">على </w:t>
      </w:r>
      <w:r w:rsidRPr="00EA0E56">
        <w:rPr>
          <w:rFonts w:hint="cs"/>
          <w:color w:val="000000"/>
          <w:rtl/>
        </w:rPr>
        <w:t>صحة السكان</w:t>
      </w:r>
      <w:r w:rsidRPr="00EA0E56">
        <w:rPr>
          <w:color w:val="000000"/>
          <w:rtl/>
        </w:rPr>
        <w:t xml:space="preserve"> فى أربعة </w:t>
      </w:r>
      <w:r w:rsidRPr="00EA0E56">
        <w:rPr>
          <w:rFonts w:hint="cs"/>
          <w:color w:val="000000"/>
          <w:rtl/>
        </w:rPr>
        <w:t>أحياء</w:t>
      </w:r>
      <w:r w:rsidRPr="00EA0E56">
        <w:rPr>
          <w:color w:val="000000"/>
          <w:rtl/>
        </w:rPr>
        <w:t xml:space="preserve"> </w:t>
      </w:r>
      <w:r w:rsidRPr="00EA0E56">
        <w:rPr>
          <w:rFonts w:hint="cs"/>
          <w:color w:val="000000"/>
          <w:rtl/>
        </w:rPr>
        <w:t xml:space="preserve">مختلفة بمدينة </w:t>
      </w:r>
      <w:r w:rsidRPr="00EA0E56">
        <w:rPr>
          <w:color w:val="000000"/>
          <w:rtl/>
        </w:rPr>
        <w:t>مكة المكرمة</w:t>
      </w:r>
      <w:r w:rsidRPr="00EA0E56">
        <w:rPr>
          <w:rFonts w:hint="cs"/>
          <w:color w:val="000000"/>
          <w:rtl/>
        </w:rPr>
        <w:t xml:space="preserve"> </w:t>
      </w:r>
      <w:r w:rsidRPr="00EA0E56">
        <w:rPr>
          <w:color w:val="000000"/>
          <w:rtl/>
        </w:rPr>
        <w:t>(</w:t>
      </w:r>
      <w:r w:rsidRPr="00EA0E56">
        <w:rPr>
          <w:rFonts w:hint="cs"/>
          <w:color w:val="000000"/>
          <w:rtl/>
        </w:rPr>
        <w:t xml:space="preserve">حى الشبيكة، حى </w:t>
      </w:r>
      <w:r w:rsidRPr="00EA0E56">
        <w:rPr>
          <w:color w:val="000000"/>
          <w:rtl/>
        </w:rPr>
        <w:t>المسفلة</w:t>
      </w:r>
      <w:r w:rsidRPr="00EA0E56">
        <w:rPr>
          <w:rFonts w:hint="cs"/>
          <w:color w:val="000000"/>
          <w:rtl/>
        </w:rPr>
        <w:t xml:space="preserve">، حى </w:t>
      </w:r>
      <w:r w:rsidRPr="00EA0E56">
        <w:rPr>
          <w:color w:val="000000"/>
          <w:rtl/>
        </w:rPr>
        <w:t>العزيزية</w:t>
      </w:r>
      <w:r w:rsidRPr="00EA0E56">
        <w:rPr>
          <w:rFonts w:hint="cs"/>
          <w:color w:val="000000"/>
          <w:rtl/>
        </w:rPr>
        <w:t>،</w:t>
      </w:r>
      <w:r w:rsidRPr="00EA0E56">
        <w:rPr>
          <w:color w:val="000000"/>
          <w:rtl/>
        </w:rPr>
        <w:t xml:space="preserve"> و</w:t>
      </w:r>
      <w:r w:rsidRPr="00EA0E56">
        <w:rPr>
          <w:rFonts w:hint="cs"/>
          <w:color w:val="000000"/>
          <w:rtl/>
        </w:rPr>
        <w:t>حى</w:t>
      </w:r>
      <w:r w:rsidRPr="00EA0E56">
        <w:rPr>
          <w:color w:val="000000"/>
          <w:rtl/>
        </w:rPr>
        <w:t xml:space="preserve"> العوالى) </w:t>
      </w:r>
      <w:r w:rsidRPr="00EA0E56">
        <w:rPr>
          <w:rFonts w:hint="cs"/>
          <w:color w:val="000000"/>
          <w:rtl/>
        </w:rPr>
        <w:t>بالمملكة العربية السعودية</w:t>
      </w:r>
      <w:r w:rsidRPr="00EA0E56">
        <w:rPr>
          <w:color w:val="000000"/>
          <w:rtl/>
        </w:rPr>
        <w:t xml:space="preserve"> خلال الفترة من 1 رمضان 1434ه</w:t>
      </w:r>
      <w:r w:rsidRPr="00EA0E56">
        <w:rPr>
          <w:rFonts w:hint="cs"/>
          <w:color w:val="000000"/>
          <w:rtl/>
        </w:rPr>
        <w:t>ـ</w:t>
      </w:r>
      <w:r w:rsidRPr="00EA0E56">
        <w:rPr>
          <w:color w:val="000000"/>
          <w:rtl/>
        </w:rPr>
        <w:t xml:space="preserve"> وحتى 27 صفر 1435ه</w:t>
      </w:r>
      <w:r w:rsidRPr="00EA0E56">
        <w:rPr>
          <w:rFonts w:hint="cs"/>
          <w:color w:val="000000"/>
          <w:rtl/>
        </w:rPr>
        <w:t>ـ.</w:t>
      </w:r>
      <w:r w:rsidRPr="00EA0E56">
        <w:rPr>
          <w:color w:val="000000"/>
          <w:rtl/>
        </w:rPr>
        <w:t xml:space="preserve"> حيث أشارت الدراسة إلى وجود تراكيز عالية من الأتربة الصدرية في المنطقة المركزية (</w:t>
      </w:r>
      <w:r w:rsidRPr="00EA0E56">
        <w:rPr>
          <w:rFonts w:hint="cs"/>
          <w:color w:val="000000"/>
          <w:rtl/>
        </w:rPr>
        <w:t xml:space="preserve">حى </w:t>
      </w:r>
      <w:r w:rsidRPr="00EA0E56">
        <w:rPr>
          <w:color w:val="000000"/>
          <w:rtl/>
        </w:rPr>
        <w:t xml:space="preserve">الشبيكة)  تراوحت </w:t>
      </w:r>
      <w:r w:rsidRPr="00EA0E56">
        <w:rPr>
          <w:rFonts w:hint="cs"/>
          <w:color w:val="000000"/>
          <w:rtl/>
        </w:rPr>
        <w:t xml:space="preserve">ما </w:t>
      </w:r>
      <w:r w:rsidRPr="00EA0E56">
        <w:rPr>
          <w:color w:val="000000"/>
          <w:rtl/>
        </w:rPr>
        <w:t xml:space="preserve">بين 186.1 – 343.2 ميكروجم/م3 بمتوسط تركيز 254.6 ميكروجم/م3، فى حى المسفلة تراوحت </w:t>
      </w:r>
      <w:r w:rsidRPr="00EA0E56">
        <w:rPr>
          <w:rFonts w:hint="cs"/>
          <w:color w:val="000000"/>
          <w:rtl/>
        </w:rPr>
        <w:t xml:space="preserve">ما </w:t>
      </w:r>
      <w:r w:rsidRPr="00EA0E56">
        <w:rPr>
          <w:color w:val="000000"/>
          <w:rtl/>
        </w:rPr>
        <w:t xml:space="preserve">بين 145.6 – 271.4 ميكروجم/م3 بمتوسط تركيز 184.9 ميكروجم/م3، </w:t>
      </w:r>
      <w:r w:rsidRPr="00EA0E56">
        <w:rPr>
          <w:rFonts w:hint="cs"/>
          <w:color w:val="000000"/>
          <w:rtl/>
        </w:rPr>
        <w:t>بينما</w:t>
      </w:r>
      <w:r w:rsidRPr="00EA0E56">
        <w:rPr>
          <w:color w:val="000000"/>
          <w:rtl/>
        </w:rPr>
        <w:t xml:space="preserve"> تراوحت </w:t>
      </w:r>
      <w:r w:rsidRPr="00EA0E56">
        <w:rPr>
          <w:rFonts w:hint="cs"/>
          <w:color w:val="000000"/>
          <w:rtl/>
        </w:rPr>
        <w:t xml:space="preserve">في </w:t>
      </w:r>
      <w:r w:rsidRPr="00EA0E56">
        <w:rPr>
          <w:color w:val="000000"/>
          <w:rtl/>
        </w:rPr>
        <w:t xml:space="preserve">حى العزيزية </w:t>
      </w:r>
      <w:r w:rsidRPr="00EA0E56">
        <w:rPr>
          <w:rFonts w:hint="cs"/>
          <w:color w:val="000000"/>
          <w:rtl/>
        </w:rPr>
        <w:t xml:space="preserve">ما </w:t>
      </w:r>
      <w:r w:rsidRPr="00EA0E56">
        <w:rPr>
          <w:color w:val="000000"/>
          <w:rtl/>
        </w:rPr>
        <w:t xml:space="preserve">بين 92.4 – 253.8 ميكروجم/م3 بمتوسط تركيز 162.4 ميكروجم/م3، وفى حى العوالى تراوحت </w:t>
      </w:r>
      <w:r w:rsidRPr="00EA0E56">
        <w:rPr>
          <w:rFonts w:hint="cs"/>
          <w:color w:val="000000"/>
          <w:rtl/>
        </w:rPr>
        <w:t xml:space="preserve">ما </w:t>
      </w:r>
      <w:r w:rsidRPr="00EA0E56">
        <w:rPr>
          <w:color w:val="000000"/>
          <w:rtl/>
        </w:rPr>
        <w:t>بين 44.5 – 119.8 ميكروجم/م3 بمتوسط تركيز 56.0 ميكروجم/م3 فى حى العوالى طيلة فترة القياس (من 1 رمضان 1434هـ وحتى 27 صفر 1435هـ). وهي قيم لم تتجاوز الحدود المسموح بها فى قانون حماية البيئة واللائحة التنفيذية بالرئاسة العامة للأرصاد وحماية البيئة للأتربة الصدرية (340 ميكروجم/م3 كمتوسط يومي). و</w:t>
      </w:r>
      <w:r w:rsidRPr="00EA0E56">
        <w:rPr>
          <w:rFonts w:hint="cs"/>
          <w:color w:val="000000"/>
          <w:rtl/>
        </w:rPr>
        <w:t xml:space="preserve">قد أعزت الدراسة سبب ذلك إلى </w:t>
      </w:r>
      <w:r w:rsidRPr="00EA0E56">
        <w:rPr>
          <w:color w:val="000000"/>
          <w:rtl/>
        </w:rPr>
        <w:t xml:space="preserve">الأعمال التطويرية الضخمة القائمة حاليا من أجل توسعة المسجد الحرام خاصة في منطقتي المسعى والساحة الشمالية من الحرم وما ينجم عن ذلك من حركة كثيفة للشاحنات والمعدات الثقيلة بالمنطقة المحيطة بالحرم وما ينتج عنها من أتربة صدرية كثيفة عالقة بالهواء نتيجة عمليات الهدم والتكسير الصخري المستمرة على مدار 24 ساعة. وفى المسفلة </w:t>
      </w:r>
      <w:r w:rsidRPr="00EA0E56">
        <w:rPr>
          <w:rFonts w:hint="cs"/>
          <w:color w:val="000000"/>
          <w:rtl/>
        </w:rPr>
        <w:t xml:space="preserve">والعزيزية إلى </w:t>
      </w:r>
      <w:r w:rsidRPr="00EA0E56">
        <w:rPr>
          <w:color w:val="000000"/>
          <w:rtl/>
        </w:rPr>
        <w:t xml:space="preserve">كثافة السكان والأنشطة البشرية </w:t>
      </w:r>
      <w:r w:rsidRPr="00EA0E56">
        <w:rPr>
          <w:rFonts w:hint="cs"/>
          <w:color w:val="000000"/>
          <w:rtl/>
        </w:rPr>
        <w:t>و</w:t>
      </w:r>
      <w:r w:rsidRPr="00EA0E56">
        <w:rPr>
          <w:color w:val="000000"/>
          <w:rtl/>
        </w:rPr>
        <w:t>الكثافة المرورية وما ينتج عنها من أتربة صدرية كثيفة عالقة بالهواء نتيجة الحركة الكثيفة للسيارات والشاحنات.</w:t>
      </w:r>
      <w:r w:rsidRPr="00EA0E56">
        <w:rPr>
          <w:rFonts w:hint="cs"/>
          <w:color w:val="000000"/>
          <w:rtl/>
        </w:rPr>
        <w:t xml:space="preserve"> كذلك تم </w:t>
      </w:r>
      <w:r w:rsidRPr="00EA0E56">
        <w:rPr>
          <w:color w:val="000000"/>
          <w:rtl/>
        </w:rPr>
        <w:t>تطبيق نموذج</w:t>
      </w:r>
      <w:r w:rsidRPr="00EA0E56">
        <w:rPr>
          <w:rFonts w:hint="cs"/>
          <w:color w:val="000000"/>
          <w:rtl/>
        </w:rPr>
        <w:t xml:space="preserve"> المحاكاه (</w:t>
      </w:r>
      <w:r w:rsidRPr="00EA0E56">
        <w:rPr>
          <w:color w:val="000000"/>
        </w:rPr>
        <w:t>AirQ2.2.3</w:t>
      </w:r>
      <w:r w:rsidRPr="00EA0E56">
        <w:rPr>
          <w:rFonts w:hint="cs"/>
          <w:color w:val="000000"/>
          <w:rtl/>
        </w:rPr>
        <w:t>)</w:t>
      </w:r>
      <w:r w:rsidRPr="00EA0E56">
        <w:rPr>
          <w:color w:val="000000"/>
          <w:rtl/>
        </w:rPr>
        <w:t xml:space="preserve"> </w:t>
      </w:r>
      <w:r w:rsidRPr="00EA0E56">
        <w:rPr>
          <w:rFonts w:hint="cs"/>
          <w:color w:val="000000"/>
          <w:rtl/>
        </w:rPr>
        <w:t xml:space="preserve">للتنبؤ بعدد </w:t>
      </w:r>
      <w:r w:rsidRPr="00EA0E56">
        <w:rPr>
          <w:color w:val="000000"/>
          <w:rtl/>
        </w:rPr>
        <w:t>حالات دخول المستشفيات بسبب أمراض الجهاز التنفسي في مدينة مكة المكرمة، المملكة العربية السعودية خلال فترة سنة واحدة</w:t>
      </w:r>
      <w:r w:rsidRPr="00EA0E56">
        <w:rPr>
          <w:rFonts w:hint="cs"/>
          <w:color w:val="000000"/>
          <w:rtl/>
        </w:rPr>
        <w:t xml:space="preserve"> اعتمادا على عدد الحالات الفعلية المسجل بوزارة الصحة السعودية (</w:t>
      </w:r>
      <w:r w:rsidRPr="00EA0E56">
        <w:rPr>
          <w:color w:val="000000"/>
          <w:rtl/>
        </w:rPr>
        <w:t>3872 حالة فى كل 100000 شخص</w:t>
      </w:r>
      <w:r w:rsidRPr="00EA0E56">
        <w:rPr>
          <w:rFonts w:hint="cs"/>
          <w:color w:val="000000"/>
          <w:rtl/>
        </w:rPr>
        <w:t>)</w:t>
      </w:r>
      <w:r w:rsidRPr="00EA0E56">
        <w:rPr>
          <w:color w:val="000000"/>
          <w:rtl/>
        </w:rPr>
        <w:t xml:space="preserve">. </w:t>
      </w:r>
      <w:r w:rsidRPr="00EA0E56">
        <w:rPr>
          <w:rFonts w:hint="cs"/>
          <w:color w:val="000000"/>
          <w:rtl/>
        </w:rPr>
        <w:t>حيث تراوحت بين (18 -3050 حالة فى كل 100000 شخص بمتوسط 1534 حالة). و</w:t>
      </w:r>
      <w:r w:rsidRPr="00EA0E56">
        <w:rPr>
          <w:color w:val="000000"/>
          <w:rtl/>
        </w:rPr>
        <w:t>كان معامل التركيز والاستجابة</w:t>
      </w:r>
      <w:r w:rsidRPr="00EA0E56">
        <w:rPr>
          <w:rFonts w:hint="cs"/>
          <w:color w:val="000000"/>
          <w:rtl/>
        </w:rPr>
        <w:t xml:space="preserve"> بين 0.49( 0.05 </w:t>
      </w:r>
      <w:r w:rsidRPr="00EA0E56">
        <w:rPr>
          <w:color w:val="000000"/>
          <w:rtl/>
        </w:rPr>
        <w:t>–</w:t>
      </w:r>
      <w:r w:rsidRPr="00EA0E56">
        <w:rPr>
          <w:rFonts w:hint="cs"/>
          <w:color w:val="000000"/>
          <w:rtl/>
        </w:rPr>
        <w:t xml:space="preserve"> 0.70 ) لكل 10 ميكروجم/م3 زيادة فى التركيز بجميع مواقع الدراسة. وتمت مقارنة نتائج النموذج ب</w:t>
      </w:r>
      <w:r w:rsidRPr="00EA0E56">
        <w:rPr>
          <w:color w:val="000000"/>
          <w:rtl/>
        </w:rPr>
        <w:t xml:space="preserve">الدراسات التي أجريت في بلدان أخرى حول العالم. </w:t>
      </w:r>
    </w:p>
    <w:p w14:paraId="2A769F02" w14:textId="77777777" w:rsidR="00A8538B" w:rsidRPr="00EA0E56" w:rsidRDefault="00A8538B" w:rsidP="00A8538B">
      <w:pPr>
        <w:pStyle w:val="a1"/>
        <w:rPr>
          <w:color w:val="000000"/>
          <w:rtl/>
        </w:rPr>
      </w:pPr>
    </w:p>
    <w:p w14:paraId="23BED1D1" w14:textId="77777777" w:rsidR="00A8538B" w:rsidRPr="00EA0E56" w:rsidRDefault="00A8538B" w:rsidP="00A8538B">
      <w:pPr>
        <w:pStyle w:val="a1"/>
        <w:rPr>
          <w:color w:val="000000"/>
          <w:rtl/>
        </w:rPr>
      </w:pPr>
      <w:r w:rsidRPr="00EA0E56">
        <w:rPr>
          <w:color w:val="000000"/>
          <w:rtl/>
        </w:rPr>
        <w:t>الكلمات المفتاحية</w:t>
      </w:r>
    </w:p>
    <w:p w14:paraId="6A83FA57" w14:textId="77777777" w:rsidR="00A8538B" w:rsidRPr="00EA0E56" w:rsidRDefault="00A8538B" w:rsidP="00A8538B">
      <w:pPr>
        <w:pStyle w:val="a1"/>
        <w:rPr>
          <w:color w:val="000000"/>
          <w:rtl/>
        </w:rPr>
      </w:pPr>
      <w:r w:rsidRPr="00EA0E56">
        <w:rPr>
          <w:color w:val="000000"/>
          <w:rtl/>
        </w:rPr>
        <w:t>الأتربة الصدرية</w:t>
      </w:r>
      <w:r w:rsidRPr="00EA0E56">
        <w:rPr>
          <w:rFonts w:hint="cs"/>
          <w:color w:val="000000"/>
          <w:rtl/>
        </w:rPr>
        <w:t xml:space="preserve"> المستنشقة</w:t>
      </w:r>
      <w:r w:rsidRPr="00EA0E56">
        <w:rPr>
          <w:color w:val="000000"/>
          <w:rtl/>
        </w:rPr>
        <w:t xml:space="preserve"> – </w:t>
      </w:r>
      <w:r w:rsidRPr="00EA0E56">
        <w:rPr>
          <w:rFonts w:hint="cs"/>
          <w:color w:val="000000"/>
          <w:rtl/>
        </w:rPr>
        <w:t>أمراض الجهاز التنفسى</w:t>
      </w:r>
      <w:r w:rsidRPr="00EA0E56">
        <w:rPr>
          <w:color w:val="000000"/>
          <w:rtl/>
        </w:rPr>
        <w:t xml:space="preserve"> – </w:t>
      </w:r>
      <w:r w:rsidRPr="00EA0E56">
        <w:rPr>
          <w:rFonts w:hint="cs"/>
          <w:color w:val="000000"/>
          <w:rtl/>
        </w:rPr>
        <w:t xml:space="preserve">جرعة الإستنشاق - </w:t>
      </w:r>
      <w:r w:rsidRPr="00EA0E56">
        <w:rPr>
          <w:color w:val="000000"/>
          <w:rtl/>
        </w:rPr>
        <w:t xml:space="preserve">سرطان الرئة </w:t>
      </w:r>
      <w:r w:rsidRPr="00EA0E56">
        <w:rPr>
          <w:rFonts w:hint="cs"/>
          <w:color w:val="000000"/>
          <w:rtl/>
        </w:rPr>
        <w:t xml:space="preserve">- </w:t>
      </w:r>
      <w:r w:rsidRPr="00EA0E56">
        <w:rPr>
          <w:color w:val="000000"/>
          <w:rtl/>
        </w:rPr>
        <w:t xml:space="preserve">نموذج </w:t>
      </w:r>
      <w:r w:rsidRPr="00EA0E56">
        <w:rPr>
          <w:color w:val="000000"/>
        </w:rPr>
        <w:t>AirQ2.2.3</w:t>
      </w:r>
      <w:r w:rsidRPr="00EA0E56">
        <w:rPr>
          <w:color w:val="000000"/>
          <w:rtl/>
        </w:rPr>
        <w:t xml:space="preserve"> – مكة المكرمة </w:t>
      </w:r>
    </w:p>
    <w:p w14:paraId="6427DD61" w14:textId="77777777" w:rsidR="00A8538B" w:rsidRPr="00EA0E56" w:rsidRDefault="00A8538B" w:rsidP="00A8538B">
      <w:pPr>
        <w:pStyle w:val="a1"/>
        <w:rPr>
          <w:color w:val="000000"/>
          <w:rtl/>
        </w:rPr>
      </w:pPr>
    </w:p>
    <w:p w14:paraId="6864C327" w14:textId="77777777" w:rsidR="00A8538B" w:rsidRPr="00EA0E56" w:rsidRDefault="00A8538B" w:rsidP="00A8538B">
      <w:pPr>
        <w:pStyle w:val="a5"/>
        <w:rPr>
          <w:rFonts w:eastAsia="Calibri"/>
          <w:color w:val="000000"/>
          <w:rtl/>
        </w:rPr>
      </w:pPr>
      <w:r w:rsidRPr="00EA0E56">
        <w:rPr>
          <w:rFonts w:eastAsia="Calibri" w:hint="cs"/>
          <w:color w:val="000000"/>
          <w:rtl/>
        </w:rPr>
        <w:t>أدبيات البحث</w:t>
      </w:r>
    </w:p>
    <w:p w14:paraId="7C9FA51A" w14:textId="77777777" w:rsidR="00A8538B" w:rsidRPr="00EA0E56" w:rsidRDefault="00A8538B" w:rsidP="00A8538B">
      <w:pPr>
        <w:pStyle w:val="a1"/>
        <w:rPr>
          <w:color w:val="000000"/>
          <w:rtl/>
        </w:rPr>
      </w:pPr>
      <w:r w:rsidRPr="00EA0E56">
        <w:rPr>
          <w:color w:val="000000"/>
          <w:rtl/>
        </w:rPr>
        <w:t>ت</w:t>
      </w:r>
      <w:r w:rsidRPr="00EA0E56">
        <w:rPr>
          <w:rFonts w:hint="cs"/>
          <w:color w:val="000000"/>
          <w:rtl/>
        </w:rPr>
        <w:t>ز</w:t>
      </w:r>
      <w:r w:rsidRPr="00EA0E56">
        <w:rPr>
          <w:color w:val="000000"/>
          <w:rtl/>
        </w:rPr>
        <w:t>خر مكة المكرمة بمكانة مرموقة في نفوس جميع المسلمين نظراً لقدسيتها وتاريخها المجيد في الإسلام، فهي مهبط الوحي والرسالة، ومنها انبثق نور الرسالة المحمدية على صاحبها أفضل الصلاة وأزكى التسليم، وتنفرد مكة المكرمة (39.52</w:t>
      </w:r>
      <w:r w:rsidRPr="00EA0E56">
        <w:rPr>
          <w:color w:val="000000"/>
        </w:rPr>
        <w:t>o</w:t>
      </w:r>
      <w:r w:rsidRPr="00EA0E56">
        <w:rPr>
          <w:color w:val="000000"/>
          <w:rtl/>
        </w:rPr>
        <w:t xml:space="preserve"> شرقا - 21.25</w:t>
      </w:r>
      <w:r w:rsidRPr="00EA0E56">
        <w:rPr>
          <w:color w:val="000000"/>
        </w:rPr>
        <w:t>o</w:t>
      </w:r>
      <w:r w:rsidRPr="00EA0E56">
        <w:rPr>
          <w:color w:val="000000"/>
          <w:rtl/>
        </w:rPr>
        <w:t xml:space="preserve"> شمالا) ببيئة مميزة من الناحية الطبوغرافية والمناخ الصحراوي الذي يسودها طوال العام. لذا فقد اهتمت دراسات كثيرة بتقييم الوضع البيئي في مكة المكرمة لتحقيق الظروف المناخية المناسبة والحد من الأضرار </w:t>
      </w:r>
      <w:r w:rsidRPr="00EA0E56">
        <w:rPr>
          <w:color w:val="000000"/>
          <w:rtl/>
        </w:rPr>
        <w:lastRenderedPageBreak/>
        <w:t xml:space="preserve">المتوقعة نتيجة التعرض للملوثات الهوائية[1]. من هنا فإن الحفاظ على الهواء من الملوثات وخاصة الأتربة الصدرية واستمرارية رصدها ومتابعتها بصفة مستمرة ذات أهمية قصوى خاصة بمكة المكرمة, وقد أوضحت الدراسات الحديثة التي أجريت بمعهد خادم الحرمين الشريفين لأبحاث الحج مند 1424هـ - 1434هـ بمكة المكرمة, ارتفاع تركيزات الأتربة الصدرية التي يتعرض لها السكان والحجاج والمعتمرين في أماكن تواجدهم وتنقلاتهم وخاصة بالمنطقة المركزية والشوارع والطرق والأنفاق المؤدية للمسجد الحرام[2-4]، كما أوضحت تلك الدراسات أن الأتربة الصدرية قد تسبب بعض الأمراض التنفسية والتهابات الرئة وتزداد هذه التأثيرات الصحية سوءاً مع تغيرات الرطوبة النسبية، وارتفاع درجات الحرارة مثل تلك السائدة بمكة، أو زيادة الجهد المبذول مثل ما يتطلبه أداء نسك العمرة خاصة في أوقات الصيام طيلة نهار رمضان كما يزيد الوضع خطورة في حالة المسنين ومرضى الصدر[5-6]، حيث ذكرت الدراسة أن تركيزات الأتربة الصدرية العالقة بالهواء وصلت إلي أكثر من 250 ميكروجرام/م3 بجوار المسجد الحرام، وهي ضمن الحدود المسموح بها في النظام العام للبيئة بالمملكة العربية السعودية وهو 340 ميكروجرام/م3 [7]. </w:t>
      </w:r>
    </w:p>
    <w:p w14:paraId="138DD2E7" w14:textId="77777777" w:rsidR="00A8538B" w:rsidRPr="00EA0E56" w:rsidRDefault="00A8538B" w:rsidP="00A8538B">
      <w:pPr>
        <w:pStyle w:val="a1"/>
        <w:rPr>
          <w:color w:val="000000"/>
          <w:highlight w:val="yellow"/>
          <w:rtl/>
        </w:rPr>
      </w:pPr>
      <w:r w:rsidRPr="00EA0E56">
        <w:rPr>
          <w:color w:val="000000"/>
          <w:rtl/>
        </w:rPr>
        <w:t>ومن المعروف أن الجسيمات العالقة تشكل علامة هامة لقياس جودة الهواء، حيث أن وجودها دليل على وجود ملوثات ف</w:t>
      </w:r>
      <w:r w:rsidRPr="00EA0E56">
        <w:rPr>
          <w:rFonts w:hint="cs"/>
          <w:color w:val="000000"/>
          <w:rtl/>
        </w:rPr>
        <w:t>ي</w:t>
      </w:r>
      <w:r w:rsidRPr="00EA0E56">
        <w:rPr>
          <w:color w:val="000000"/>
          <w:rtl/>
        </w:rPr>
        <w:t xml:space="preserve"> الهواء. فالجسيمات تتكون ف</w:t>
      </w:r>
      <w:r w:rsidRPr="00EA0E56">
        <w:rPr>
          <w:rFonts w:hint="cs"/>
          <w:color w:val="000000"/>
          <w:rtl/>
        </w:rPr>
        <w:t>ي</w:t>
      </w:r>
      <w:r w:rsidRPr="00EA0E56">
        <w:rPr>
          <w:color w:val="000000"/>
          <w:rtl/>
        </w:rPr>
        <w:t xml:space="preserve"> الهواء الجوي من مصادر طبيعية واصطناعية، كما تتكون أيضا من تكاثف الغازات والأبخرة ف</w:t>
      </w:r>
      <w:r w:rsidRPr="00EA0E56">
        <w:rPr>
          <w:rFonts w:hint="cs"/>
          <w:color w:val="000000"/>
          <w:rtl/>
        </w:rPr>
        <w:t>ي</w:t>
      </w:r>
      <w:r w:rsidRPr="00EA0E56">
        <w:rPr>
          <w:color w:val="000000"/>
          <w:rtl/>
        </w:rPr>
        <w:t xml:space="preserve"> الهواء الجو</w:t>
      </w:r>
      <w:r w:rsidRPr="00EA0E56">
        <w:rPr>
          <w:rFonts w:hint="cs"/>
          <w:color w:val="000000"/>
          <w:rtl/>
        </w:rPr>
        <w:t>ي</w:t>
      </w:r>
      <w:r w:rsidRPr="00EA0E56">
        <w:rPr>
          <w:color w:val="000000"/>
          <w:rtl/>
        </w:rPr>
        <w:t>[8-10]. الجسيمات العالقة وخاصة الأتربة المستنشقة (أقل من 10 ميكرون)  تنتشر ف</w:t>
      </w:r>
      <w:r w:rsidRPr="00EA0E56">
        <w:rPr>
          <w:rFonts w:hint="cs"/>
          <w:color w:val="000000"/>
          <w:rtl/>
        </w:rPr>
        <w:t>ي</w:t>
      </w:r>
      <w:r w:rsidRPr="00EA0E56">
        <w:rPr>
          <w:color w:val="000000"/>
          <w:rtl/>
        </w:rPr>
        <w:t xml:space="preserve"> الهواء الجو</w:t>
      </w:r>
      <w:r w:rsidRPr="00EA0E56">
        <w:rPr>
          <w:rFonts w:hint="cs"/>
          <w:color w:val="000000"/>
          <w:rtl/>
        </w:rPr>
        <w:t>ي</w:t>
      </w:r>
      <w:r w:rsidRPr="00EA0E56">
        <w:rPr>
          <w:color w:val="000000"/>
          <w:rtl/>
        </w:rPr>
        <w:t xml:space="preserve"> من عدة مصادر متنوعة منها حركة مرور السيارات، العمليات الصناعية، التدفئة المنزلية، والطهي[11]. عمر الجسيمات العالقة ف</w:t>
      </w:r>
      <w:r w:rsidRPr="00EA0E56">
        <w:rPr>
          <w:rFonts w:hint="cs"/>
          <w:color w:val="000000"/>
          <w:rtl/>
        </w:rPr>
        <w:t>ي</w:t>
      </w:r>
      <w:r w:rsidRPr="00EA0E56">
        <w:rPr>
          <w:color w:val="000000"/>
          <w:rtl/>
        </w:rPr>
        <w:t xml:space="preserve"> الهواء الجو</w:t>
      </w:r>
      <w:r w:rsidRPr="00EA0E56">
        <w:rPr>
          <w:rFonts w:hint="cs"/>
          <w:color w:val="000000"/>
          <w:rtl/>
        </w:rPr>
        <w:t>ي</w:t>
      </w:r>
      <w:r w:rsidRPr="00EA0E56">
        <w:rPr>
          <w:color w:val="000000"/>
          <w:rtl/>
        </w:rPr>
        <w:t xml:space="preserve"> يختلف من بضع ثوان إلى عدة أشهر، وهذا يتوقف على حجم الجسيمات، وكثافاتها، والاضطرابات الجوية. فالأتربة المستنشقة تنتشر وتتحرك ف</w:t>
      </w:r>
      <w:r w:rsidRPr="00EA0E56">
        <w:rPr>
          <w:rFonts w:hint="cs"/>
          <w:color w:val="000000"/>
          <w:rtl/>
        </w:rPr>
        <w:t>ي</w:t>
      </w:r>
      <w:r w:rsidRPr="00EA0E56">
        <w:rPr>
          <w:color w:val="000000"/>
          <w:rtl/>
        </w:rPr>
        <w:t xml:space="preserve"> الهواء وتسبب تلوث على مسافة قد تصل إلى عشرة كيلومتر من مصدرها[12]، وهذه الأتربة ذات خطورة كبيرة على صحة الإنسان مقارنة بالجسيمات العالقة كبيرة الحجم[9، 13]. وقد وجدت العديد من الدراسات الوبائية علاقة وثيقة بين النتائج الصحية وتركيزات الجسيمات المستنشقة، حيث تم الربط بين تركيز الأتربة المستنشقة في الهواء والآثار السلبية على الصحة الناتجة من هذه التركيزات. كما أن التعرض للأتربة المستنشقة يؤدى لوجود زيادة من أمراض الجهاز التنفسي والقلب والأوعية الدموية، وتلف أنسجة الرئة، وقد يؤدي إلى الوفاة المبكرة، وربما يسهم في الإصابة بالسرطان[9، 14].</w:t>
      </w:r>
      <w:r w:rsidRPr="00EA0E56">
        <w:rPr>
          <w:color w:val="000000"/>
        </w:rPr>
        <w:t xml:space="preserve"> </w:t>
      </w:r>
      <w:r w:rsidRPr="00EA0E56">
        <w:rPr>
          <w:color w:val="000000"/>
          <w:rtl/>
        </w:rPr>
        <w:t>شكل وحجم جزيئات الأتربة المستنشقة هما سبب اختراق الجزيئات للجهاز التنفسي وزيادة احتمالية وصولها مناطق أعمق فى الرئتين[9، 14].</w:t>
      </w:r>
      <w:r w:rsidRPr="00EA0E56">
        <w:rPr>
          <w:color w:val="000000"/>
          <w:highlight w:val="yellow"/>
          <w:rtl/>
        </w:rPr>
        <w:t xml:space="preserve"> </w:t>
      </w:r>
    </w:p>
    <w:p w14:paraId="42E0B685" w14:textId="77777777" w:rsidR="00A8538B" w:rsidRPr="00EA0E56" w:rsidRDefault="00A8538B" w:rsidP="00A8538B">
      <w:pPr>
        <w:pStyle w:val="a1"/>
        <w:rPr>
          <w:color w:val="000000"/>
          <w:rtl/>
        </w:rPr>
      </w:pPr>
      <w:r w:rsidRPr="00EA0E56">
        <w:rPr>
          <w:color w:val="000000"/>
          <w:rtl/>
        </w:rPr>
        <w:t>فعملية التنفس هى عملية مستمرة لا غنى للإنسان عنها، والجسيمات العالقة</w:t>
      </w:r>
      <w:r w:rsidRPr="00EA0E56">
        <w:rPr>
          <w:color w:val="000000"/>
        </w:rPr>
        <w:t xml:space="preserve"> </w:t>
      </w:r>
      <w:r w:rsidRPr="00EA0E56">
        <w:rPr>
          <w:color w:val="000000"/>
          <w:rtl/>
        </w:rPr>
        <w:t>يمكنها الوصول إلي الجهاز التنفسي، فتسبب تهيجا في المسالك التنفسية أو في نسيج</w:t>
      </w:r>
      <w:r w:rsidRPr="00EA0E56">
        <w:rPr>
          <w:color w:val="000000"/>
        </w:rPr>
        <w:t xml:space="preserve"> </w:t>
      </w:r>
      <w:r w:rsidRPr="00EA0E56">
        <w:rPr>
          <w:color w:val="000000"/>
          <w:rtl/>
        </w:rPr>
        <w:t>الرئة إذا كانت لها هذه الخاصية، أو تستقر في الرئتين. فإذا كانت قابلة للذوبان في</w:t>
      </w:r>
      <w:r w:rsidRPr="00EA0E56">
        <w:rPr>
          <w:color w:val="000000"/>
        </w:rPr>
        <w:t xml:space="preserve"> </w:t>
      </w:r>
      <w:r w:rsidRPr="00EA0E56">
        <w:rPr>
          <w:color w:val="000000"/>
          <w:rtl/>
        </w:rPr>
        <w:t>الماء فان المكان الذي تستقر فيه (الشعب الهوائية أو نسيج الرئة) لا يتأثر، حيث أنها تذوب في المخاط أو السائل الذي يغطى سطح الجهاز التنفسي، و تمتص</w:t>
      </w:r>
      <w:r w:rsidRPr="00EA0E56">
        <w:rPr>
          <w:color w:val="000000"/>
        </w:rPr>
        <w:t xml:space="preserve"> </w:t>
      </w:r>
      <w:r w:rsidRPr="00EA0E56">
        <w:rPr>
          <w:color w:val="000000"/>
          <w:rtl/>
        </w:rPr>
        <w:t>فتصل إلى الدم ومنه إلي أجزاء الجسم المختلفة فتسبب أضرار فى الجسم فى أماكن أخرى مثل حدوث تسمم بأملاح الرصاص أو المنجنيز. أما في حالة الجسيمات التى</w:t>
      </w:r>
      <w:r w:rsidRPr="00EA0E56">
        <w:rPr>
          <w:color w:val="000000"/>
        </w:rPr>
        <w:t xml:space="preserve"> </w:t>
      </w:r>
      <w:r w:rsidRPr="00EA0E56">
        <w:rPr>
          <w:color w:val="000000"/>
          <w:rtl/>
        </w:rPr>
        <w:t>لا تذوب في الماء فانها تترسب في الجهاز التنفسي فيؤثر  وجودها على عملية التنفس. كما أن وجودها يعتمد عليه</w:t>
      </w:r>
      <w:r w:rsidRPr="00EA0E56">
        <w:rPr>
          <w:color w:val="000000"/>
        </w:rPr>
        <w:t xml:space="preserve"> </w:t>
      </w:r>
      <w:r w:rsidRPr="00EA0E56">
        <w:rPr>
          <w:color w:val="000000"/>
          <w:rtl/>
        </w:rPr>
        <w:t>قدرتها على البقاء في الجهاز التنفسي أو في الرئتين بصفة خاصة. ومكانها داخل الجهاز التنفسى يحدد حسب حجمها. فالجسيمات كبيرة الحجم (القطر أكبر من 10 ميكرون)</w:t>
      </w:r>
      <w:r w:rsidRPr="00EA0E56">
        <w:rPr>
          <w:color w:val="000000"/>
        </w:rPr>
        <w:t xml:space="preserve"> </w:t>
      </w:r>
      <w:r w:rsidRPr="00EA0E56">
        <w:rPr>
          <w:color w:val="000000"/>
          <w:rtl/>
        </w:rPr>
        <w:t xml:space="preserve">تترسب في العادة بفعل الجاذبية الأرضية قبل أن تصل إلي الجهاز التنفسي. بينما </w:t>
      </w:r>
      <w:r w:rsidRPr="00EA0E56">
        <w:rPr>
          <w:color w:val="000000"/>
        </w:rPr>
        <w:t xml:space="preserve"> </w:t>
      </w:r>
      <w:r w:rsidRPr="00EA0E56">
        <w:rPr>
          <w:color w:val="000000"/>
          <w:rtl/>
        </w:rPr>
        <w:t>الجسيمات الأصغر حجما تمر إلي المسالك التنفسية، فتتصدى لها الأنظمة الدفاعية الموجودة</w:t>
      </w:r>
      <w:r w:rsidRPr="00EA0E56">
        <w:rPr>
          <w:color w:val="000000"/>
        </w:rPr>
        <w:t xml:space="preserve"> </w:t>
      </w:r>
      <w:r w:rsidRPr="00EA0E56">
        <w:rPr>
          <w:color w:val="000000"/>
          <w:rtl/>
        </w:rPr>
        <w:t>في الجهاز التنفسي فيترسب جزء منها في الأنف و القصبة الهوائية و الشعب الهوائية، و</w:t>
      </w:r>
      <w:r w:rsidRPr="00EA0E56">
        <w:rPr>
          <w:color w:val="000000"/>
        </w:rPr>
        <w:t xml:space="preserve"> </w:t>
      </w:r>
      <w:r w:rsidRPr="00EA0E56">
        <w:rPr>
          <w:color w:val="000000"/>
          <w:rtl/>
        </w:rPr>
        <w:t>يمكن للجسيمات الأصغر من 10 ميكرون الوصول إلي نسيج الرئة، و تعرف بالأتربة القابلة</w:t>
      </w:r>
      <w:r w:rsidRPr="00EA0E56">
        <w:rPr>
          <w:color w:val="000000"/>
        </w:rPr>
        <w:t xml:space="preserve"> </w:t>
      </w:r>
      <w:r w:rsidRPr="00EA0E56">
        <w:rPr>
          <w:color w:val="000000"/>
          <w:rtl/>
        </w:rPr>
        <w:t>للاستنشاق (</w:t>
      </w:r>
      <w:r w:rsidRPr="00EA0E56">
        <w:rPr>
          <w:color w:val="000000"/>
        </w:rPr>
        <w:t xml:space="preserve"> (Respirable Dust</w:t>
      </w:r>
      <w:r w:rsidRPr="00EA0E56">
        <w:rPr>
          <w:color w:val="000000"/>
          <w:rtl/>
        </w:rPr>
        <w:t>، وإن كان متوسط قطر الأتربة حوالي 1 ميكرون فإنها تترسب في</w:t>
      </w:r>
      <w:r w:rsidRPr="00EA0E56">
        <w:rPr>
          <w:color w:val="000000"/>
        </w:rPr>
        <w:t xml:space="preserve"> </w:t>
      </w:r>
      <w:r w:rsidRPr="00EA0E56">
        <w:rPr>
          <w:color w:val="000000"/>
          <w:rtl/>
        </w:rPr>
        <w:t>الحويصلات الهوائية</w:t>
      </w:r>
      <w:r w:rsidRPr="00EA0E56">
        <w:rPr>
          <w:color w:val="000000"/>
        </w:rPr>
        <w:t>.</w:t>
      </w:r>
    </w:p>
    <w:p w14:paraId="41C6D48C" w14:textId="77777777" w:rsidR="00A8538B" w:rsidRPr="00EA0E56" w:rsidRDefault="00A8538B" w:rsidP="00A8538B">
      <w:pPr>
        <w:pStyle w:val="a1"/>
        <w:rPr>
          <w:color w:val="000000"/>
          <w:rtl/>
        </w:rPr>
      </w:pPr>
      <w:r w:rsidRPr="00EA0E56">
        <w:rPr>
          <w:color w:val="000000"/>
          <w:rtl/>
        </w:rPr>
        <w:t>إن إنتشار أمراض الحساسية في زيادة مستمرة في العالم والتي قد تشكل مصدر قلق كبير لدى كثير من الناس. لذا يعد تلوث الهواء من بين اهم المسببات العديدة المعروفة لأمراض الحساسية ومرتبط بالبيئة. وهناك دلائل قوية تؤيد وجود العلاقة بين تلوث الهواء وتفاقم الربو الشعبى وأمراض الحساسية الأخرى. فمعظم الأضرار الصحية الناتجة عن التعرض للجسيمات العالقة تتسبب فيها جسيمات متناهية في الصغر، أقل من 10 جزء في المليون وتخترق هذه الجسيمات طريقها حتى تصل إلى الرئة مسببة أعراض مرضية مختلفة (مثل الربو الشعبى، السعال والأزمات التنفسـية..الخ) (شكل - 1). و معظم هذه الجسيمات العالقة تكون ناتجة عن عمليات الاحتراق الغير تام ومن أمثلتها: الرماد، السناج والمركبات الكربونية. بالإضافة إلى ذلك تضم الجسيمات العالقة متكثفات حمضية ومعادن مثل الرصاص والكادميوم و كبريتات ونترات. إذا كانت كمية</w:t>
      </w:r>
      <w:r w:rsidRPr="00EA0E56">
        <w:rPr>
          <w:color w:val="000000"/>
        </w:rPr>
        <w:t xml:space="preserve"> </w:t>
      </w:r>
      <w:r w:rsidRPr="00EA0E56">
        <w:rPr>
          <w:color w:val="000000"/>
          <w:rtl/>
        </w:rPr>
        <w:t>الأتربة أو الجسيمات التى تصل إلي الجهاز التنفسي في الحدود المقبولة فان بالإمكان</w:t>
      </w:r>
      <w:r w:rsidRPr="00EA0E56">
        <w:rPr>
          <w:color w:val="000000"/>
        </w:rPr>
        <w:t xml:space="preserve"> </w:t>
      </w:r>
      <w:r w:rsidRPr="00EA0E56">
        <w:rPr>
          <w:color w:val="000000"/>
          <w:rtl/>
        </w:rPr>
        <w:t>التخلص من 95% منها بفعل الأنظمة الدفاعية للجهاز التنفسي. و في الظروف الطبيعية</w:t>
      </w:r>
      <w:r w:rsidRPr="00EA0E56">
        <w:rPr>
          <w:color w:val="000000"/>
        </w:rPr>
        <w:t xml:space="preserve"> </w:t>
      </w:r>
      <w:r w:rsidRPr="00EA0E56">
        <w:rPr>
          <w:color w:val="000000"/>
          <w:rtl/>
        </w:rPr>
        <w:t xml:space="preserve">تحتوى رئتي الإنسان البالغ على كميات </w:t>
      </w:r>
      <w:r w:rsidRPr="00EA0E56">
        <w:rPr>
          <w:color w:val="000000"/>
          <w:rtl/>
        </w:rPr>
        <w:lastRenderedPageBreak/>
        <w:t>قليلة و غير مؤثرة من الأتربة، كما تحتوى على</w:t>
      </w:r>
      <w:r w:rsidRPr="00EA0E56">
        <w:rPr>
          <w:color w:val="000000"/>
        </w:rPr>
        <w:t xml:space="preserve"> </w:t>
      </w:r>
      <w:r w:rsidRPr="00EA0E56">
        <w:rPr>
          <w:color w:val="000000"/>
          <w:rtl/>
        </w:rPr>
        <w:t>كمية من السناج الذي يستقر في الرئتين فيعطيها اللون الأسود في بعض الأماكن مثل</w:t>
      </w:r>
      <w:r w:rsidRPr="00EA0E56">
        <w:rPr>
          <w:color w:val="000000"/>
        </w:rPr>
        <w:t xml:space="preserve"> </w:t>
      </w:r>
      <w:r w:rsidRPr="00EA0E56">
        <w:rPr>
          <w:color w:val="000000"/>
          <w:rtl/>
        </w:rPr>
        <w:t>العقد الليمفاوية، و لكن ذلك لا يؤثر على وظيفة الرئتين و ليس له أي آثار</w:t>
      </w:r>
      <w:r w:rsidRPr="00EA0E56">
        <w:rPr>
          <w:color w:val="000000"/>
        </w:rPr>
        <w:t xml:space="preserve"> </w:t>
      </w:r>
      <w:r w:rsidRPr="00EA0E56">
        <w:rPr>
          <w:color w:val="000000"/>
          <w:rtl/>
        </w:rPr>
        <w:t>مرضية</w:t>
      </w:r>
      <w:r w:rsidRPr="00EA0E56">
        <w:rPr>
          <w:color w:val="000000"/>
        </w:rPr>
        <w:t>.</w:t>
      </w:r>
      <w:r w:rsidRPr="00EA0E56">
        <w:rPr>
          <w:color w:val="000000"/>
          <w:rtl/>
        </w:rPr>
        <w:t xml:space="preserve"> أما إذا زادت كمية الأتربة في البيئة عن حد معين، فان كميات كبيرة منها</w:t>
      </w:r>
      <w:r w:rsidRPr="00EA0E56">
        <w:rPr>
          <w:color w:val="000000"/>
        </w:rPr>
        <w:t xml:space="preserve"> </w:t>
      </w:r>
      <w:r w:rsidRPr="00EA0E56">
        <w:rPr>
          <w:color w:val="000000"/>
          <w:rtl/>
        </w:rPr>
        <w:t>تترسب في الجهاز التنفسي و قد تكون لها آثار ضارة.</w:t>
      </w:r>
    </w:p>
    <w:p w14:paraId="03D4DC99" w14:textId="77777777" w:rsidR="00A8538B" w:rsidRPr="00EA0E56" w:rsidRDefault="00A8538B" w:rsidP="00A8538B">
      <w:pPr>
        <w:pStyle w:val="a1"/>
        <w:rPr>
          <w:color w:val="000000"/>
          <w:rtl/>
        </w:rPr>
      </w:pPr>
      <w:r w:rsidRPr="00EA0E56">
        <w:rPr>
          <w:color w:val="000000"/>
          <w:rtl/>
        </w:rPr>
        <w:t>من هنا فقد هدفت هذه الدراسة لرصد تراكيز الأتربة الصدرية في أربعة أحياء ممثلة لأحياء مكة المكرمة بالمملكة العربية السعودية: حى العزيزية (منطقة سكنية تتميز بكثافة سكانية)، وفى حى العوالى (منطقة سكنية ذات كثافة سكانية منخفضة)، المنطقة المركزية (حى الشبيكة بالقرب من الحرم المكى الشريف ذات كثافات موسمية)، بالإضافة إلى حى المسفلة (تتميز بكثافات مررورية عالية) خلال الفترة من 1 رمضان 1434هـ وحتى 27 صفر 1435هـ. دراسة علاقة تراكيز الأتربة الصدرية بوجود حالات الربو الشعبى، حيث أشارت الدراسة إلى حساب درجة الخطورة والتنبأ بعدد حالات الربو الشعبى فى الأطفال والبالغين الناتجة من تركيزات  الأتربة المستنشقة التى تم رصدها بإستخدام نموذج محاكاة (</w:t>
      </w:r>
      <w:r w:rsidRPr="00EA0E56">
        <w:rPr>
          <w:color w:val="000000"/>
        </w:rPr>
        <w:t>AirQ2.2.3 model</w:t>
      </w:r>
      <w:r w:rsidRPr="00EA0E56">
        <w:rPr>
          <w:color w:val="000000"/>
          <w:rtl/>
        </w:rPr>
        <w:t>).</w:t>
      </w:r>
    </w:p>
    <w:p w14:paraId="181F95FA" w14:textId="6276211E" w:rsidR="00A8538B" w:rsidRPr="00EA0E56" w:rsidRDefault="00A8538B" w:rsidP="00A8538B">
      <w:pPr>
        <w:pStyle w:val="a1"/>
        <w:jc w:val="center"/>
        <w:rPr>
          <w:rFonts w:cs="Fanan"/>
          <w:color w:val="000000"/>
          <w:u w:val="single"/>
          <w:rtl/>
        </w:rPr>
      </w:pPr>
      <w:r w:rsidRPr="00EA0E56">
        <w:rPr>
          <w:rFonts w:cs="Fanan"/>
          <w:color w:val="000000"/>
        </w:rPr>
        <w:drawing>
          <wp:inline distT="0" distB="0" distL="0" distR="0" wp14:anchorId="5DF66FF3" wp14:editId="01E25226">
            <wp:extent cx="1838325" cy="1857375"/>
            <wp:effectExtent l="38100" t="38100" r="47625" b="476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857375"/>
                    </a:xfrm>
                    <a:prstGeom prst="rect">
                      <a:avLst/>
                    </a:prstGeom>
                    <a:noFill/>
                    <a:ln w="38100" cmpd="thinThick">
                      <a:solidFill>
                        <a:srgbClr val="000000"/>
                      </a:solidFill>
                      <a:miter lim="800000"/>
                      <a:headEnd/>
                      <a:tailEnd/>
                    </a:ln>
                    <a:effectLst/>
                  </pic:spPr>
                </pic:pic>
              </a:graphicData>
            </a:graphic>
          </wp:inline>
        </w:drawing>
      </w:r>
      <w:r w:rsidRPr="00EA0E56">
        <w:rPr>
          <w:rFonts w:cs="Fanan"/>
          <w:color w:val="000000"/>
        </w:rPr>
        <w:drawing>
          <wp:inline distT="0" distB="0" distL="0" distR="0" wp14:anchorId="52319B29" wp14:editId="48685535">
            <wp:extent cx="1247775" cy="1857375"/>
            <wp:effectExtent l="38100" t="38100" r="47625" b="476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47775" cy="1857375"/>
                    </a:xfrm>
                    <a:prstGeom prst="rect">
                      <a:avLst/>
                    </a:prstGeom>
                    <a:noFill/>
                    <a:ln w="38100" cmpd="thinThick">
                      <a:solidFill>
                        <a:srgbClr val="000000"/>
                      </a:solidFill>
                      <a:miter lim="800000"/>
                      <a:headEnd/>
                      <a:tailEnd/>
                    </a:ln>
                    <a:effectLst/>
                  </pic:spPr>
                </pic:pic>
              </a:graphicData>
            </a:graphic>
          </wp:inline>
        </w:drawing>
      </w:r>
      <w:r w:rsidRPr="00EA0E56">
        <w:rPr>
          <w:rFonts w:cs="Fanan"/>
          <w:color w:val="000000"/>
        </w:rPr>
        <w:drawing>
          <wp:inline distT="0" distB="0" distL="0" distR="0" wp14:anchorId="541A6496" wp14:editId="1AE4618B">
            <wp:extent cx="2085975" cy="1857375"/>
            <wp:effectExtent l="38100" t="38100" r="47625" b="476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5975" cy="1857375"/>
                    </a:xfrm>
                    <a:prstGeom prst="rect">
                      <a:avLst/>
                    </a:prstGeom>
                    <a:noFill/>
                    <a:ln w="38100" cmpd="thinThick">
                      <a:solidFill>
                        <a:srgbClr val="000000"/>
                      </a:solidFill>
                      <a:miter lim="800000"/>
                      <a:headEnd/>
                      <a:tailEnd/>
                    </a:ln>
                    <a:effectLst/>
                  </pic:spPr>
                </pic:pic>
              </a:graphicData>
            </a:graphic>
          </wp:inline>
        </w:drawing>
      </w:r>
    </w:p>
    <w:p w14:paraId="0EC95ABC" w14:textId="77777777" w:rsidR="00A8538B" w:rsidRPr="00EA0E56" w:rsidRDefault="00A8538B" w:rsidP="00A8538B">
      <w:pPr>
        <w:pStyle w:val="a1"/>
        <w:jc w:val="center"/>
        <w:rPr>
          <w:color w:val="000000"/>
          <w:sz w:val="20"/>
          <w:szCs w:val="20"/>
          <w:rtl/>
        </w:rPr>
      </w:pPr>
      <w:r w:rsidRPr="00EA0E56">
        <w:rPr>
          <w:color w:val="000000"/>
          <w:sz w:val="20"/>
          <w:szCs w:val="20"/>
          <w:rtl/>
        </w:rPr>
        <w:t>شكل</w:t>
      </w:r>
      <w:r w:rsidRPr="00EA0E56">
        <w:rPr>
          <w:rFonts w:hint="cs"/>
          <w:color w:val="000000"/>
          <w:sz w:val="20"/>
          <w:szCs w:val="20"/>
          <w:rtl/>
        </w:rPr>
        <w:t xml:space="preserve"> -1</w:t>
      </w:r>
      <w:r w:rsidRPr="00EA0E56">
        <w:rPr>
          <w:color w:val="000000"/>
          <w:sz w:val="20"/>
          <w:szCs w:val="20"/>
          <w:rtl/>
        </w:rPr>
        <w:t>: حجم حبيبات الأتربة المستنشقة ومسار الأتربة المستنشقة في الرئة.</w:t>
      </w:r>
    </w:p>
    <w:p w14:paraId="5DAA99A3" w14:textId="77777777" w:rsidR="00A8538B" w:rsidRPr="00EA0E56" w:rsidRDefault="00A8538B" w:rsidP="00A8538B">
      <w:pPr>
        <w:pStyle w:val="a1"/>
        <w:rPr>
          <w:rFonts w:cs="Fanan"/>
          <w:color w:val="000000"/>
          <w:rtl/>
        </w:rPr>
      </w:pPr>
    </w:p>
    <w:p w14:paraId="74D4FD05" w14:textId="77777777" w:rsidR="00A8538B" w:rsidRPr="00EA0E56" w:rsidRDefault="00A8538B" w:rsidP="00A8538B">
      <w:pPr>
        <w:pStyle w:val="a5"/>
        <w:rPr>
          <w:rFonts w:eastAsia="Calibri"/>
          <w:color w:val="000000"/>
          <w:rtl/>
        </w:rPr>
      </w:pPr>
      <w:r w:rsidRPr="00EA0E56">
        <w:rPr>
          <w:rFonts w:eastAsia="Calibri"/>
          <w:color w:val="000000"/>
          <w:rtl/>
        </w:rPr>
        <w:t>أهداف البحث</w:t>
      </w:r>
    </w:p>
    <w:p w14:paraId="29FB9DDB" w14:textId="77777777" w:rsidR="00A8538B" w:rsidRPr="00EA0E56" w:rsidRDefault="00A8538B" w:rsidP="00A8538B">
      <w:pPr>
        <w:pStyle w:val="a1"/>
        <w:rPr>
          <w:color w:val="000000"/>
          <w:rtl/>
        </w:rPr>
      </w:pPr>
      <w:r w:rsidRPr="00EA0E56">
        <w:rPr>
          <w:color w:val="000000"/>
          <w:rtl/>
        </w:rPr>
        <w:t>يمكن تلخيص أهداف البحث كالتالى:-</w:t>
      </w:r>
    </w:p>
    <w:p w14:paraId="34E3A9E9" w14:textId="77777777" w:rsidR="00A8538B" w:rsidRPr="00EA0E56" w:rsidRDefault="00A8538B" w:rsidP="00A8538B">
      <w:pPr>
        <w:pStyle w:val="a1"/>
        <w:rPr>
          <w:color w:val="000000"/>
        </w:rPr>
      </w:pPr>
      <w:r w:rsidRPr="00EA0E56">
        <w:rPr>
          <w:color w:val="000000"/>
          <w:rtl/>
        </w:rPr>
        <w:t>رصد تركيزات الأتربة المستنشقة فى المناطق الحضرية بمدينة مكة المكرمة.</w:t>
      </w:r>
    </w:p>
    <w:p w14:paraId="1CFA10D6" w14:textId="77777777" w:rsidR="00A8538B" w:rsidRPr="00EA0E56" w:rsidRDefault="00A8538B" w:rsidP="00A8538B">
      <w:pPr>
        <w:pStyle w:val="a1"/>
        <w:rPr>
          <w:color w:val="000000"/>
        </w:rPr>
      </w:pPr>
      <w:r w:rsidRPr="00EA0E56">
        <w:rPr>
          <w:color w:val="000000"/>
          <w:rtl/>
        </w:rPr>
        <w:t>حساب المخاطر البيئية (جرعة استنشاق وخطر الاصابة بسرطان الرئة) نتيجة التعرض لإستنشاق الأتربة الصدرية.</w:t>
      </w:r>
    </w:p>
    <w:p w14:paraId="40649644" w14:textId="77777777" w:rsidR="00A8538B" w:rsidRPr="00EA0E56" w:rsidRDefault="00A8538B" w:rsidP="00A8538B">
      <w:pPr>
        <w:pStyle w:val="a1"/>
        <w:rPr>
          <w:color w:val="000000"/>
        </w:rPr>
      </w:pPr>
      <w:r w:rsidRPr="00EA0E56">
        <w:rPr>
          <w:color w:val="000000"/>
          <w:rtl/>
        </w:rPr>
        <w:t>التنبؤ بعدد حالات دخول المستشفيات بسبب أمراض الجهاز التنفسي الناتجة من تركيزات الأتربة المستنشقة.</w:t>
      </w:r>
    </w:p>
    <w:p w14:paraId="6DE59534" w14:textId="77777777" w:rsidR="00A8538B" w:rsidRPr="00EA0E56" w:rsidRDefault="00A8538B" w:rsidP="00A8538B">
      <w:pPr>
        <w:pStyle w:val="a1"/>
        <w:rPr>
          <w:rFonts w:cs="Fanan"/>
          <w:color w:val="000000"/>
          <w:sz w:val="16"/>
          <w:szCs w:val="16"/>
          <w:rtl/>
        </w:rPr>
      </w:pPr>
    </w:p>
    <w:p w14:paraId="1B99D850" w14:textId="77777777" w:rsidR="00A8538B" w:rsidRPr="00EA0E56" w:rsidRDefault="00A8538B" w:rsidP="00A8538B">
      <w:pPr>
        <w:pStyle w:val="a5"/>
        <w:rPr>
          <w:rFonts w:eastAsia="Calibri"/>
          <w:color w:val="000000"/>
          <w:rtl/>
        </w:rPr>
      </w:pPr>
      <w:r w:rsidRPr="00EA0E56">
        <w:rPr>
          <w:rFonts w:eastAsia="Calibri"/>
          <w:color w:val="000000"/>
          <w:rtl/>
        </w:rPr>
        <w:t>منهجية البحث</w:t>
      </w:r>
    </w:p>
    <w:p w14:paraId="780C489B" w14:textId="77777777" w:rsidR="00A8538B" w:rsidRPr="00EA0E56" w:rsidRDefault="00A8538B" w:rsidP="00A8538B">
      <w:pPr>
        <w:pStyle w:val="a1"/>
        <w:rPr>
          <w:color w:val="000000"/>
        </w:rPr>
      </w:pPr>
      <w:r w:rsidRPr="00EA0E56">
        <w:rPr>
          <w:color w:val="000000"/>
          <w:rtl/>
        </w:rPr>
        <w:t>وتتلخص منهجية البحث فى الخطوات التالية:</w:t>
      </w:r>
    </w:p>
    <w:p w14:paraId="0A4A5075" w14:textId="77777777" w:rsidR="00A8538B" w:rsidRPr="00EA0E56" w:rsidRDefault="00A8538B" w:rsidP="00A8538B">
      <w:pPr>
        <w:pStyle w:val="a1"/>
        <w:rPr>
          <w:color w:val="000000"/>
        </w:rPr>
      </w:pPr>
      <w:r w:rsidRPr="00EA0E56">
        <w:rPr>
          <w:color w:val="000000"/>
          <w:rtl/>
        </w:rPr>
        <w:lastRenderedPageBreak/>
        <w:t>اختيار أماكن سحب العينات فى اربع مناطق (منطقة العزيزية - منطقة سكنية تتميز بكثافة سكانية ومرورية &amp; منطقة العوالى - منطقة أقل تلوثاً حسب المتوقع &amp; المنطقة المركزية (الشبيكة) - بالقرب من الحرم المكى الشريف ذات كثافات موسمية &amp; منطقة المسفلة  - تتميز بكثافات مررورية عالية).</w:t>
      </w:r>
    </w:p>
    <w:p w14:paraId="5FFD4C94" w14:textId="77777777" w:rsidR="00A8538B" w:rsidRPr="00EA0E56" w:rsidRDefault="00A8538B" w:rsidP="00A8538B">
      <w:pPr>
        <w:pStyle w:val="a1"/>
        <w:rPr>
          <w:color w:val="000000"/>
        </w:rPr>
      </w:pPr>
      <w:r w:rsidRPr="00EA0E56">
        <w:rPr>
          <w:color w:val="000000"/>
          <w:rtl/>
        </w:rPr>
        <w:t>استخدام مضخة سحب الهواء ذات الحجم المنخفض (معدل سحبها يساوى ~ 5-6 لتر/دقيقة) و فلاتر نيتريت السيليلوز (مسام = 0.45 ميكرون) لتجميع عينات الأتربة المستنشقة عليها.</w:t>
      </w:r>
    </w:p>
    <w:p w14:paraId="136FACD3" w14:textId="77777777" w:rsidR="00A8538B" w:rsidRPr="00EA0E56" w:rsidRDefault="00A8538B" w:rsidP="00A8538B">
      <w:pPr>
        <w:pStyle w:val="a1"/>
        <w:rPr>
          <w:color w:val="000000"/>
        </w:rPr>
      </w:pPr>
      <w:r w:rsidRPr="00EA0E56">
        <w:rPr>
          <w:color w:val="000000"/>
          <w:rtl/>
        </w:rPr>
        <w:t>سحب عينة واحدة أسبوعيا لمدة ستة أشهر من المواقع الموجودة بكل منطقة.</w:t>
      </w:r>
    </w:p>
    <w:p w14:paraId="3E45D313" w14:textId="77777777" w:rsidR="00A8538B" w:rsidRPr="00EA0E56" w:rsidRDefault="00A8538B" w:rsidP="00A8538B">
      <w:pPr>
        <w:pStyle w:val="a1"/>
        <w:rPr>
          <w:color w:val="000000"/>
        </w:rPr>
      </w:pPr>
      <w:r w:rsidRPr="00EA0E56">
        <w:rPr>
          <w:color w:val="000000"/>
          <w:rtl/>
        </w:rPr>
        <w:t>تحليل العينات فى المعمل الكيميائى.</w:t>
      </w:r>
    </w:p>
    <w:p w14:paraId="17BF5121" w14:textId="77777777" w:rsidR="00A8538B" w:rsidRPr="00EA0E56" w:rsidRDefault="00A8538B" w:rsidP="00A8538B">
      <w:pPr>
        <w:pStyle w:val="a1"/>
        <w:rPr>
          <w:color w:val="000000"/>
        </w:rPr>
      </w:pPr>
      <w:r w:rsidRPr="00EA0E56">
        <w:rPr>
          <w:color w:val="000000"/>
          <w:rtl/>
        </w:rPr>
        <w:t>حصر وجمع بيانات أعدد المرضى المصابون بأمراض الجهاز التنفسى بمكة المكرمة.</w:t>
      </w:r>
    </w:p>
    <w:p w14:paraId="21980E92" w14:textId="77777777" w:rsidR="00A8538B" w:rsidRPr="00EA0E56" w:rsidRDefault="00A8538B" w:rsidP="00A8538B">
      <w:pPr>
        <w:pStyle w:val="a1"/>
        <w:rPr>
          <w:color w:val="000000"/>
        </w:rPr>
      </w:pPr>
      <w:r w:rsidRPr="00EA0E56">
        <w:rPr>
          <w:color w:val="000000"/>
          <w:rtl/>
        </w:rPr>
        <w:t>حساب المخاطر البيئية (جرعة الاستنشاق وخطر الاصابة بسرطان الرئة) نتيجة التعرض لإستنشاق الأتربة الصدرية الموجودة بمناطق القياس.</w:t>
      </w:r>
    </w:p>
    <w:p w14:paraId="6173B7A0" w14:textId="77777777" w:rsidR="00A8538B" w:rsidRPr="00EA0E56" w:rsidRDefault="00A8538B" w:rsidP="00A8538B">
      <w:pPr>
        <w:pStyle w:val="a1"/>
        <w:rPr>
          <w:color w:val="000000"/>
          <w:rtl/>
        </w:rPr>
      </w:pPr>
      <w:r w:rsidRPr="00EA0E56">
        <w:rPr>
          <w:color w:val="000000"/>
          <w:rtl/>
        </w:rPr>
        <w:t>تطبيق نموذج المحاكاة (</w:t>
      </w:r>
      <w:r w:rsidRPr="00EA0E56">
        <w:rPr>
          <w:color w:val="000000"/>
        </w:rPr>
        <w:t>AirQ2.2.3</w:t>
      </w:r>
      <w:r w:rsidRPr="00EA0E56">
        <w:rPr>
          <w:color w:val="000000"/>
          <w:rtl/>
        </w:rPr>
        <w:t>) للتنبؤ بعدد حالات دخول المستشفيات بسبب أمراض الجهاز التنفسي الناتجة من تركيزات الأتربة المستنشقة المجمعة بمناطق القياس.</w:t>
      </w:r>
    </w:p>
    <w:p w14:paraId="2F5864FF" w14:textId="77777777" w:rsidR="00A8538B" w:rsidRPr="00EA0E56" w:rsidRDefault="00A8538B" w:rsidP="00A8538B">
      <w:pPr>
        <w:pStyle w:val="a1"/>
        <w:rPr>
          <w:rFonts w:ascii="Sakkal Majalla" w:hAnsi="Sakkal Majalla" w:cs="Fanan"/>
          <w:color w:val="000000"/>
          <w:sz w:val="16"/>
          <w:szCs w:val="16"/>
          <w:rtl/>
        </w:rPr>
      </w:pPr>
    </w:p>
    <w:p w14:paraId="6D274561" w14:textId="77777777" w:rsidR="00A8538B" w:rsidRPr="00EA0E56" w:rsidRDefault="00A8538B" w:rsidP="00A8538B">
      <w:pPr>
        <w:pStyle w:val="a5"/>
        <w:rPr>
          <w:rFonts w:eastAsia="Calibri"/>
          <w:color w:val="000000"/>
          <w:rtl/>
        </w:rPr>
      </w:pPr>
      <w:r w:rsidRPr="00EA0E56">
        <w:rPr>
          <w:rFonts w:eastAsia="Calibri"/>
          <w:color w:val="000000"/>
          <w:rtl/>
        </w:rPr>
        <w:t>مواقع القياس</w:t>
      </w:r>
    </w:p>
    <w:p w14:paraId="169D83AA" w14:textId="77777777" w:rsidR="00A8538B" w:rsidRPr="00EA0E56" w:rsidRDefault="00A8538B" w:rsidP="00A8538B">
      <w:pPr>
        <w:pStyle w:val="a1"/>
        <w:rPr>
          <w:color w:val="000000"/>
          <w:rtl/>
        </w:rPr>
      </w:pPr>
      <w:r w:rsidRPr="00EA0E56">
        <w:rPr>
          <w:color w:val="000000"/>
          <w:rtl/>
        </w:rPr>
        <w:t>شملت مواقع القياس أربعة أحياء مختلفة وهى حى العزيزية (منطقة سكنية تتميز بكثافة سكانية)، وفى حى العوالى (منطقة سكنية ذات كثافة سكانية منخفضة)، المنطقة المركزية (حى الشبيكة بالقرب من الحرم المكى الشريف ذات كثافات موسمية)، بالإضافة إلى حى المسفلة (تتميز بكثافات مررورية عالية)، كما هو موضح بشكل -2.</w:t>
      </w:r>
    </w:p>
    <w:p w14:paraId="33D0DA1D" w14:textId="77777777" w:rsidR="00A8538B" w:rsidRPr="00EA0E56" w:rsidRDefault="00A8538B" w:rsidP="00A8538B">
      <w:pPr>
        <w:pStyle w:val="a1"/>
        <w:rPr>
          <w:rFonts w:ascii="Traditional Arabic" w:hAnsi="Traditional Arabic" w:cs="Traditional Arabic"/>
          <w:b/>
          <w:bCs/>
          <w:color w:val="000000"/>
          <w:sz w:val="12"/>
          <w:szCs w:val="12"/>
          <w:rtl/>
        </w:rPr>
      </w:pPr>
    </w:p>
    <w:p w14:paraId="6E4C5DB4" w14:textId="794F0D84" w:rsidR="00A8538B" w:rsidRPr="00EA0E56" w:rsidRDefault="00A8538B" w:rsidP="00A8538B">
      <w:pPr>
        <w:pStyle w:val="a1"/>
        <w:jc w:val="center"/>
        <w:rPr>
          <w:rFonts w:cs="Fanan"/>
          <w:color w:val="000000"/>
          <w:sz w:val="28"/>
          <w:szCs w:val="28"/>
          <w:rtl/>
        </w:rPr>
      </w:pPr>
      <w:r w:rsidRPr="00EA0E56">
        <w:rPr>
          <w:rFonts w:cs="Fanan"/>
          <w:color w:val="000000"/>
          <w:sz w:val="28"/>
          <w:szCs w:val="28"/>
        </w:rPr>
        <w:drawing>
          <wp:inline distT="0" distB="0" distL="0" distR="0" wp14:anchorId="1391AF87" wp14:editId="6FBB2388">
            <wp:extent cx="3762375" cy="2219325"/>
            <wp:effectExtent l="38100" t="38100" r="47625" b="476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2375" cy="2219325"/>
                    </a:xfrm>
                    <a:prstGeom prst="rect">
                      <a:avLst/>
                    </a:prstGeom>
                    <a:noFill/>
                    <a:ln w="38100" cmpd="thinThick">
                      <a:solidFill>
                        <a:srgbClr val="000000"/>
                      </a:solidFill>
                      <a:miter lim="800000"/>
                      <a:headEnd/>
                      <a:tailEnd/>
                    </a:ln>
                    <a:effectLst/>
                  </pic:spPr>
                </pic:pic>
              </a:graphicData>
            </a:graphic>
          </wp:inline>
        </w:drawing>
      </w:r>
    </w:p>
    <w:p w14:paraId="02B3B410" w14:textId="77777777" w:rsidR="00A8538B" w:rsidRPr="00EA0E56" w:rsidRDefault="00A8538B" w:rsidP="00A8538B">
      <w:pPr>
        <w:pStyle w:val="a1"/>
        <w:jc w:val="center"/>
        <w:rPr>
          <w:color w:val="000000"/>
          <w:sz w:val="20"/>
          <w:szCs w:val="20"/>
          <w:rtl/>
        </w:rPr>
      </w:pPr>
      <w:r w:rsidRPr="00EA0E56">
        <w:rPr>
          <w:color w:val="000000"/>
          <w:sz w:val="20"/>
          <w:szCs w:val="20"/>
          <w:rtl/>
        </w:rPr>
        <w:t>شكل</w:t>
      </w:r>
      <w:r w:rsidRPr="00EA0E56">
        <w:rPr>
          <w:rFonts w:hint="cs"/>
          <w:color w:val="000000"/>
          <w:sz w:val="20"/>
          <w:szCs w:val="20"/>
          <w:rtl/>
        </w:rPr>
        <w:t xml:space="preserve"> - 2</w:t>
      </w:r>
      <w:r w:rsidRPr="00EA0E56">
        <w:rPr>
          <w:color w:val="000000"/>
          <w:sz w:val="20"/>
          <w:szCs w:val="20"/>
          <w:rtl/>
        </w:rPr>
        <w:t>: خريطة توضح مواقع القياس.</w:t>
      </w:r>
    </w:p>
    <w:p w14:paraId="430F6C0E" w14:textId="77777777" w:rsidR="00A8538B" w:rsidRPr="00EA0E56" w:rsidRDefault="00A8538B" w:rsidP="00A8538B">
      <w:pPr>
        <w:pStyle w:val="a1"/>
        <w:rPr>
          <w:rFonts w:cs="Fanan"/>
          <w:b/>
          <w:bCs/>
          <w:color w:val="000000"/>
          <w:sz w:val="16"/>
          <w:szCs w:val="16"/>
          <w:u w:val="single"/>
        </w:rPr>
      </w:pPr>
    </w:p>
    <w:p w14:paraId="41B12F4D" w14:textId="77777777" w:rsidR="00A8538B" w:rsidRPr="00EA0E56" w:rsidRDefault="00A8538B" w:rsidP="00A8538B">
      <w:pPr>
        <w:pStyle w:val="a5"/>
        <w:rPr>
          <w:rFonts w:eastAsia="Calibri"/>
          <w:color w:val="000000"/>
          <w:rtl/>
        </w:rPr>
      </w:pPr>
      <w:r w:rsidRPr="00EA0E56">
        <w:rPr>
          <w:rFonts w:eastAsia="Calibri"/>
          <w:color w:val="000000"/>
          <w:rtl/>
        </w:rPr>
        <w:t>طرق القياس</w:t>
      </w:r>
    </w:p>
    <w:p w14:paraId="45708220" w14:textId="77777777" w:rsidR="00A8538B" w:rsidRPr="00EA0E56" w:rsidRDefault="00A8538B" w:rsidP="00A8538B">
      <w:pPr>
        <w:pStyle w:val="a1"/>
        <w:rPr>
          <w:color w:val="000000"/>
          <w:rtl/>
        </w:rPr>
      </w:pPr>
      <w:r w:rsidRPr="00EA0E56">
        <w:rPr>
          <w:color w:val="000000"/>
          <w:rtl/>
        </w:rPr>
        <w:t xml:space="preserve">قامت الدراسة برصد لتراكيز الجسيمات المستنشقة (الأقل من 10 ميكرون) بإستخدام جهاز جميع الأتربة الصدرية منخفض الحجم </w:t>
      </w:r>
      <w:r w:rsidRPr="00EA0E56">
        <w:rPr>
          <w:color w:val="000000"/>
        </w:rPr>
        <w:t>LVS</w:t>
      </w:r>
      <w:r w:rsidRPr="00EA0E56">
        <w:rPr>
          <w:color w:val="000000"/>
          <w:rtl/>
        </w:rPr>
        <w:t xml:space="preserve"> (</w:t>
      </w:r>
      <w:r w:rsidRPr="00EA0E56">
        <w:rPr>
          <w:color w:val="000000"/>
        </w:rPr>
        <w:t>Low Volume Sampler</w:t>
      </w:r>
      <w:r w:rsidRPr="00EA0E56">
        <w:rPr>
          <w:color w:val="000000"/>
          <w:rtl/>
        </w:rPr>
        <w:t>) والمصنوع من قبل شركة بيكو الألمانية (</w:t>
      </w:r>
      <w:r w:rsidRPr="00EA0E56">
        <w:rPr>
          <w:color w:val="000000"/>
        </w:rPr>
        <w:t>Beco R300</w:t>
      </w:r>
      <w:r w:rsidRPr="00EA0E56">
        <w:rPr>
          <w:color w:val="000000"/>
          <w:rtl/>
        </w:rPr>
        <w:t xml:space="preserve">) وذلك بعد معايرة الجهاز واستخدام فلاتر نترات السيللوز مقاس 0.45 ميكرون الخاصة بالأتربة الأقل من 10 ميكرومتر (شكل - 3). </w:t>
      </w:r>
    </w:p>
    <w:p w14:paraId="083CE7B6" w14:textId="77777777" w:rsidR="00A8538B" w:rsidRPr="00EA0E56" w:rsidRDefault="00A8538B" w:rsidP="00A8538B">
      <w:pPr>
        <w:pStyle w:val="a1"/>
        <w:rPr>
          <w:color w:val="000000"/>
          <w:rtl/>
        </w:rPr>
      </w:pPr>
      <w:r w:rsidRPr="00EA0E56">
        <w:rPr>
          <w:color w:val="000000"/>
          <w:rtl/>
        </w:rPr>
        <w:t xml:space="preserve">وقد استخدمت طريقة الترشيح لتقدير التركيز الكلي للأتربة الصدرية المستنشقة حيث يتم وضع ورقة ترشيح في المجفف ثم يتم وزن ورقة الترشيح في المعمل قبل الذهاب إلى الموقع ثم تنقل بعناية إلى جهاز سحب الهواء. بعد إنتهاء فترة جمع العينة (24 ساعة) يتم نقل العينة بعناية إلى المعمل حيث توضع في المجفف ثم توزن إلى وزن ثابت والفرق في الوزن </w:t>
      </w:r>
      <w:r w:rsidRPr="00EA0E56">
        <w:rPr>
          <w:color w:val="000000"/>
          <w:rtl/>
        </w:rPr>
        <w:lastRenderedPageBreak/>
        <w:t>قبل سحب الهواء وبعد إنتهاء جمع العينة هو وزن الغبار العالق المجمع من الهواء، وبإستخدام وزن العينة وكمية الهواء الذي تم سحبه خلال فترة جمع العينة يمكن حساب التركيز ويعبر عنه بالميكروجم/م3[15].</w:t>
      </w:r>
    </w:p>
    <w:tbl>
      <w:tblPr>
        <w:bidiVisual/>
        <w:tblW w:w="0" w:type="auto"/>
        <w:jc w:val="center"/>
        <w:tblLook w:val="04A0" w:firstRow="1" w:lastRow="0" w:firstColumn="1" w:lastColumn="0" w:noHBand="0" w:noVBand="1"/>
      </w:tblPr>
      <w:tblGrid>
        <w:gridCol w:w="8051"/>
      </w:tblGrid>
      <w:tr w:rsidR="00A8538B" w:rsidRPr="00EA0E56" w14:paraId="2DA55C48" w14:textId="77777777" w:rsidTr="00CA64ED">
        <w:trPr>
          <w:jc w:val="center"/>
        </w:trPr>
        <w:tc>
          <w:tcPr>
            <w:tcW w:w="8541" w:type="dxa"/>
            <w:vAlign w:val="center"/>
          </w:tcPr>
          <w:p w14:paraId="2391DBAE" w14:textId="529AAEAB" w:rsidR="00A8538B" w:rsidRPr="00EA0E56" w:rsidRDefault="00A8538B" w:rsidP="00CA64ED">
            <w:pPr>
              <w:pStyle w:val="a1"/>
              <w:rPr>
                <w:rFonts w:cs="Fanan"/>
                <w:color w:val="000000"/>
                <w:sz w:val="28"/>
                <w:szCs w:val="28"/>
                <w:rtl/>
              </w:rPr>
            </w:pPr>
            <w:r w:rsidRPr="00EA0E56">
              <w:rPr>
                <w:rFonts w:cs="Fanan"/>
                <w:b/>
                <w:bCs/>
                <w:color w:val="000000"/>
                <w:sz w:val="28"/>
                <w:szCs w:val="28"/>
              </w:rPr>
              <w:drawing>
                <wp:inline distT="0" distB="0" distL="0" distR="0" wp14:anchorId="57078A22" wp14:editId="372647BB">
                  <wp:extent cx="1409700" cy="1628775"/>
                  <wp:effectExtent l="38100" t="38100" r="38100" b="476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9700" cy="1628775"/>
                          </a:xfrm>
                          <a:prstGeom prst="rect">
                            <a:avLst/>
                          </a:prstGeom>
                          <a:noFill/>
                          <a:ln w="38100" cmpd="thinThick">
                            <a:solidFill>
                              <a:srgbClr val="000000"/>
                            </a:solidFill>
                            <a:miter lim="800000"/>
                            <a:headEnd/>
                            <a:tailEnd/>
                          </a:ln>
                          <a:effectLst/>
                        </pic:spPr>
                      </pic:pic>
                    </a:graphicData>
                  </a:graphic>
                </wp:inline>
              </w:drawing>
            </w:r>
            <w:r w:rsidRPr="00EA0E56">
              <w:rPr>
                <w:rFonts w:cs="Fanan"/>
                <w:b/>
                <w:bCs/>
                <w:color w:val="000000"/>
                <w:sz w:val="28"/>
                <w:szCs w:val="28"/>
              </w:rPr>
              <w:drawing>
                <wp:inline distT="0" distB="0" distL="0" distR="0" wp14:anchorId="574B2E1D" wp14:editId="4B13074F">
                  <wp:extent cx="1724025" cy="1619250"/>
                  <wp:effectExtent l="57150" t="57150" r="66675" b="57150"/>
                  <wp:docPr id="76" name="Picture 76" descr="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69" descr="34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4025" cy="1619250"/>
                          </a:xfrm>
                          <a:prstGeom prst="rect">
                            <a:avLst/>
                          </a:prstGeom>
                          <a:noFill/>
                          <a:ln w="57150" cmpd="thinThick">
                            <a:solidFill>
                              <a:srgbClr val="000000"/>
                            </a:solidFill>
                            <a:miter lim="800000"/>
                            <a:headEnd/>
                            <a:tailEnd/>
                          </a:ln>
                          <a:effectLst/>
                        </pic:spPr>
                      </pic:pic>
                    </a:graphicData>
                  </a:graphic>
                </wp:inline>
              </w:drawing>
            </w:r>
            <w:r w:rsidRPr="00EA0E56">
              <w:rPr>
                <w:rFonts w:cs="Fanan"/>
                <w:b/>
                <w:bCs/>
                <w:color w:val="000000"/>
                <w:sz w:val="28"/>
                <w:szCs w:val="28"/>
              </w:rPr>
              <w:drawing>
                <wp:inline distT="0" distB="0" distL="0" distR="0" wp14:anchorId="7A3500B9" wp14:editId="6677EF1C">
                  <wp:extent cx="1800225" cy="1619250"/>
                  <wp:effectExtent l="38100" t="38100" r="47625" b="38100"/>
                  <wp:docPr id="75" name="Picture 75" descr="DSC0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70" descr="DSC055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225" cy="1619250"/>
                          </a:xfrm>
                          <a:prstGeom prst="rect">
                            <a:avLst/>
                          </a:prstGeom>
                          <a:noFill/>
                          <a:ln w="38100" cmpd="thinThick">
                            <a:solidFill>
                              <a:srgbClr val="000000"/>
                            </a:solidFill>
                            <a:miter lim="800000"/>
                            <a:headEnd/>
                            <a:tailEnd/>
                          </a:ln>
                          <a:effectLst/>
                        </pic:spPr>
                      </pic:pic>
                    </a:graphicData>
                  </a:graphic>
                </wp:inline>
              </w:drawing>
            </w:r>
          </w:p>
        </w:tc>
      </w:tr>
    </w:tbl>
    <w:p w14:paraId="3BD2073B" w14:textId="77777777" w:rsidR="00A8538B" w:rsidRPr="00EA0E56" w:rsidRDefault="00A8538B" w:rsidP="00A8538B">
      <w:pPr>
        <w:pStyle w:val="a1"/>
        <w:jc w:val="center"/>
        <w:rPr>
          <w:color w:val="000000"/>
          <w:sz w:val="20"/>
          <w:szCs w:val="20"/>
          <w:rtl/>
        </w:rPr>
      </w:pPr>
      <w:r w:rsidRPr="00EA0E56">
        <w:rPr>
          <w:color w:val="000000"/>
          <w:sz w:val="20"/>
          <w:szCs w:val="20"/>
          <w:rtl/>
        </w:rPr>
        <w:t>شكل</w:t>
      </w:r>
      <w:r w:rsidRPr="00EA0E56">
        <w:rPr>
          <w:rFonts w:hint="cs"/>
          <w:color w:val="000000"/>
          <w:sz w:val="20"/>
          <w:szCs w:val="20"/>
          <w:rtl/>
        </w:rPr>
        <w:t xml:space="preserve"> -</w:t>
      </w:r>
      <w:r w:rsidRPr="00EA0E56">
        <w:rPr>
          <w:color w:val="000000"/>
          <w:sz w:val="20"/>
          <w:szCs w:val="20"/>
          <w:rtl/>
        </w:rPr>
        <w:t xml:space="preserve"> </w:t>
      </w:r>
      <w:r w:rsidRPr="00EA0E56">
        <w:rPr>
          <w:rFonts w:hint="cs"/>
          <w:color w:val="000000"/>
          <w:sz w:val="20"/>
          <w:szCs w:val="20"/>
          <w:rtl/>
        </w:rPr>
        <w:t>3</w:t>
      </w:r>
      <w:r w:rsidRPr="00EA0E56">
        <w:rPr>
          <w:color w:val="000000"/>
          <w:sz w:val="20"/>
          <w:szCs w:val="20"/>
          <w:rtl/>
        </w:rPr>
        <w:t xml:space="preserve">: جهاز تجميع عينات الأتربة المستنشقة ( </w:t>
      </w:r>
      <w:r w:rsidRPr="00EA0E56">
        <w:rPr>
          <w:color w:val="000000"/>
          <w:sz w:val="20"/>
          <w:szCs w:val="20"/>
        </w:rPr>
        <w:t>PM10</w:t>
      </w:r>
      <w:r w:rsidRPr="00EA0E56">
        <w:rPr>
          <w:color w:val="000000"/>
          <w:sz w:val="20"/>
          <w:szCs w:val="20"/>
          <w:rtl/>
        </w:rPr>
        <w:t>).</w:t>
      </w:r>
    </w:p>
    <w:p w14:paraId="036C2A72" w14:textId="77777777" w:rsidR="00A8538B" w:rsidRPr="00EA0E56" w:rsidRDefault="00A8538B" w:rsidP="00A8538B">
      <w:pPr>
        <w:pStyle w:val="a1"/>
        <w:rPr>
          <w:rFonts w:cs="Fanan"/>
          <w:b/>
          <w:bCs/>
          <w:color w:val="000000"/>
          <w:sz w:val="16"/>
          <w:szCs w:val="16"/>
          <w:u w:val="single"/>
        </w:rPr>
      </w:pPr>
    </w:p>
    <w:p w14:paraId="67A4F9E1" w14:textId="77777777" w:rsidR="00A8538B" w:rsidRPr="00EA0E56" w:rsidRDefault="00A8538B" w:rsidP="00A8538B">
      <w:pPr>
        <w:pStyle w:val="a5"/>
        <w:rPr>
          <w:rFonts w:eastAsia="Calibri"/>
          <w:color w:val="000000"/>
          <w:rtl/>
        </w:rPr>
      </w:pPr>
      <w:r w:rsidRPr="00EA0E56">
        <w:rPr>
          <w:rFonts w:eastAsia="Calibri"/>
          <w:color w:val="000000"/>
          <w:rtl/>
        </w:rPr>
        <w:t>نتائج البحث</w:t>
      </w:r>
    </w:p>
    <w:p w14:paraId="3F131BDB" w14:textId="77777777" w:rsidR="00A8538B" w:rsidRPr="00EA0E56" w:rsidRDefault="00A8538B" w:rsidP="00A8538B">
      <w:pPr>
        <w:pStyle w:val="a1"/>
        <w:rPr>
          <w:color w:val="000000"/>
          <w:rtl/>
        </w:rPr>
      </w:pPr>
      <w:r w:rsidRPr="00EA0E56">
        <w:rPr>
          <w:color w:val="000000"/>
          <w:rtl/>
        </w:rPr>
        <w:t>الأتربة الصدرية</w:t>
      </w:r>
    </w:p>
    <w:p w14:paraId="5B2088B5" w14:textId="77777777" w:rsidR="00A8538B" w:rsidRPr="00EA0E56" w:rsidRDefault="00A8538B" w:rsidP="00A8538B">
      <w:pPr>
        <w:pStyle w:val="a1"/>
        <w:rPr>
          <w:color w:val="000000"/>
        </w:rPr>
      </w:pPr>
      <w:r w:rsidRPr="00EA0E56">
        <w:rPr>
          <w:color w:val="000000"/>
          <w:rtl/>
        </w:rPr>
        <w:t>لقد تم قياس الأتربة الصدرية في أربع أحياء (حى الشبيكة، حى المسفلة، حى العزيزية، وحى العوالى) بمكة المكرمة بالمملكة العربية السعودية (كما هو مبين بالشكل 4-1). حيث تراوحت تراكيز الأتربة الصدرية فى المنطقة المركزية (حى الشبيكة) بين 186.1 – 343.2 ميكروجم/م3 بمتوسط تركيز 254.6 ميكروجم/م3، بين 145.6 – 271.4 ميكروجم/م3 بمتوسط تركيز 184.9 ميكروجم/م3 فى حى المسفلة، بين 92.4 – 253.8 ميكروجم/م3 بمتوسط تركيز 162.4 ميكروجم/م3 فى حى العزيزية، بين 44.5 – 119.8 ميكروجم/م3 بمتوسط تركيز 56.0 ميكروجم/م3 فى حى العوالى طول فترة القياس (من 1 رمضان 1434هـ وحتى 27 صفر 1435هـ) كما هو موضح بشكل 4. وهي قيم لم تتجاوز الحدود المسموح بها فى قانون حماية البيئة واللائحة التنفيذية بالرئاسة العامة للأرصاد وحماية البيئة (</w:t>
      </w:r>
      <w:r w:rsidRPr="00EA0E56">
        <w:rPr>
          <w:color w:val="000000"/>
        </w:rPr>
        <w:t>PME</w:t>
      </w:r>
      <w:r w:rsidRPr="00EA0E56">
        <w:rPr>
          <w:color w:val="000000"/>
          <w:rtl/>
        </w:rPr>
        <w:t xml:space="preserve">) للأتربة الصدرية (340 ميكروجم/م3 كمتوسط يومي)[7]. ويرجع هذا الارتفاع الكبير في تركيز هذه الأتربة الصدرية المستنشقة بمنطقة المسجد الحرام إلى الأعمال التطويرية الضخمة القائمة حاليا من أجل توسعة المسجد الحرام خاصة في منطقتي المسعى والساحة الشمالية من الحرم وما ينجم عن ذلك من حركة كثيفة للشاحنات والمعدات الثقيلة بالمنطقة المحيطة بالحرم وما ينتج عنها من أتربة صدرية كثيفة عالقة بالهواء نتيجة عمليات الهدم والتكسير الصخري المستمرة على مدار 24 ساعة. وفى المسفلة يرجع ارتفاع تراكيز الأتربة الصدرية المستنشقة إلى الكثافة المرورية وما ينتج عنها من أتربة صدرية كثيفة عالقة بالهواء نتيجة الحركة الكثيفة للسيارات والشاحنات. وفى العزيزية يرجع ارتفاع تراكيز الأتربة الصدرية المستنشقة إلى قربها من مناطق المشاعر المقدسة وخاصة منى وكثافة السكان والأنشطة البشرية التى ينتج عنها أتربة صدرية كثيفة عالقة بالهواء. بينما يرجع انخفاض تراكيز الأتربة الصدرية المستنشقة فى حى العوالى إلى الكثافة السكانية المنخفضة. كل هذه التراكيز العالية من الأتربة الصدرية التي تكمن خطورتها في تأثيرها السلبي على صحة المصلين والمعتمرين أدت إلى أضرار صحية خطيرة على الجهاز التنفسي للإنسان حيث أنها زادت من حالات </w:t>
      </w:r>
      <w:r w:rsidRPr="00EA0E56">
        <w:rPr>
          <w:color w:val="000000"/>
          <w:rtl/>
        </w:rPr>
        <w:lastRenderedPageBreak/>
        <w:t>الكحة والأزمات الربوية مما جعل السوق الأوربية المشتركة تضع الحدود القصوى لتواجده بالهواء عند 50 ميكروجرام/م3 [5].</w:t>
      </w:r>
    </w:p>
    <w:p w14:paraId="0A297407" w14:textId="3E16278D" w:rsidR="00A8538B" w:rsidRPr="00EA0E56" w:rsidRDefault="00A8538B" w:rsidP="00A8538B">
      <w:pPr>
        <w:pStyle w:val="a1"/>
        <w:jc w:val="center"/>
        <w:rPr>
          <w:rFonts w:cs="Fanan"/>
          <w:color w:val="000000"/>
          <w:rtl/>
        </w:rPr>
      </w:pPr>
      <w:r w:rsidRPr="00EA0E56">
        <w:rPr>
          <w:color w:val="000000"/>
        </w:rPr>
        <w:drawing>
          <wp:inline distT="0" distB="0" distL="0" distR="0" wp14:anchorId="5E69B284" wp14:editId="334A2264">
            <wp:extent cx="5043805" cy="2939415"/>
            <wp:effectExtent l="0" t="0" r="4445" b="13335"/>
            <wp:docPr id="74" name="Chart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354F613" w14:textId="77777777" w:rsidR="00A8538B" w:rsidRPr="00EA0E56" w:rsidRDefault="00A8538B" w:rsidP="00A8538B">
      <w:pPr>
        <w:pStyle w:val="a1"/>
        <w:jc w:val="center"/>
        <w:rPr>
          <w:color w:val="000000"/>
          <w:sz w:val="20"/>
          <w:szCs w:val="20"/>
          <w:rtl/>
        </w:rPr>
      </w:pPr>
      <w:r w:rsidRPr="00EA0E56">
        <w:rPr>
          <w:color w:val="000000"/>
          <w:sz w:val="20"/>
          <w:szCs w:val="20"/>
          <w:rtl/>
        </w:rPr>
        <w:t>شكل</w:t>
      </w:r>
      <w:r w:rsidRPr="00EA0E56">
        <w:rPr>
          <w:rFonts w:hint="cs"/>
          <w:color w:val="000000"/>
          <w:sz w:val="20"/>
          <w:szCs w:val="20"/>
          <w:rtl/>
        </w:rPr>
        <w:t xml:space="preserve"> - 4</w:t>
      </w:r>
      <w:r w:rsidRPr="00EA0E56">
        <w:rPr>
          <w:color w:val="000000"/>
          <w:sz w:val="20"/>
          <w:szCs w:val="20"/>
          <w:rtl/>
        </w:rPr>
        <w:t xml:space="preserve">: تراكيز الأتربة الصدرية المجمعة من مناطق الدراسة (ميكروجم/م3) خلال الفترة من 1 رمضان 1434هـ  - 27 </w:t>
      </w:r>
      <w:r w:rsidRPr="00EA0E56">
        <w:rPr>
          <w:rFonts w:hint="cs"/>
          <w:color w:val="000000"/>
          <w:sz w:val="20"/>
          <w:szCs w:val="20"/>
          <w:rtl/>
        </w:rPr>
        <w:t>صفر</w:t>
      </w:r>
      <w:r w:rsidRPr="00EA0E56">
        <w:rPr>
          <w:color w:val="000000"/>
          <w:sz w:val="20"/>
          <w:szCs w:val="20"/>
          <w:rtl/>
        </w:rPr>
        <w:t xml:space="preserve"> 1435هـ.</w:t>
      </w:r>
    </w:p>
    <w:p w14:paraId="1D712653" w14:textId="77777777" w:rsidR="00A8538B" w:rsidRPr="00EA0E56" w:rsidRDefault="00A8538B" w:rsidP="00A8538B">
      <w:pPr>
        <w:pStyle w:val="a1"/>
        <w:rPr>
          <w:rFonts w:cs="Fanan"/>
          <w:color w:val="000000"/>
          <w:rtl/>
        </w:rPr>
      </w:pPr>
    </w:p>
    <w:p w14:paraId="18D7F587" w14:textId="77777777" w:rsidR="00A8538B" w:rsidRPr="00EA0E56" w:rsidRDefault="00A8538B" w:rsidP="00A8538B">
      <w:pPr>
        <w:pStyle w:val="a1"/>
        <w:rPr>
          <w:color w:val="000000"/>
          <w:rtl/>
        </w:rPr>
      </w:pPr>
      <w:r w:rsidRPr="00EA0E56">
        <w:rPr>
          <w:color w:val="000000"/>
          <w:rtl/>
        </w:rPr>
        <w:t>كما يوضح جدول (1) مقارنة بين تراكيز الأتربة الصدرية المستنشقة فى مواقع القياس بمكة المكرمة وبعض المدن بدول العالم المختلفة. حيث يتضح ارتفاع تركيز الأتربة الصدرية المستنشقة بشكل ملحوظ في المنطقة المركزية وحى المسفلة بمكة المكرمة مقارنة بباقى المدن ماعدا فى الصين، حيث أن تراكيز الأتربة الصدرية المستنشقة التى تم رصدها فى الدراسة الحالية أقل بكثير من التى تم رصدها فى مدن الصي. وقد أعزت الدراسة ارتفاع الأتربة الصدرية المستنشقة فى المنطقة المركزية وحى المسفلة إلى الازدحام الشديد بمنطقة الحرم الناتج عن النشاطات البشرية الكثيفة خاصة في أوقات الصلاة وكذلك الحركة الكثيفة للمصلين والمعتمرين والحجاج في ساحات المسجد الحرام وكذلك بين الحرم والفنادق والأسواق المحيطة به مما يزيد من انتشار هذه الأتربة المستنشقة بالهواء خاصة في ظل وجود عمليات التوسعة، إضافة إلى الكثافة المرورية العالية بالمنطقة المركزية وحى المسفلة.</w:t>
      </w:r>
    </w:p>
    <w:p w14:paraId="2FF2F870" w14:textId="77777777" w:rsidR="00A8538B" w:rsidRPr="00EA0E56" w:rsidRDefault="00A8538B" w:rsidP="00A8538B">
      <w:pPr>
        <w:pStyle w:val="a1"/>
        <w:rPr>
          <w:color w:val="000000"/>
        </w:rPr>
      </w:pPr>
      <w:r w:rsidRPr="00EA0E56">
        <w:rPr>
          <w:color w:val="000000"/>
          <w:rtl/>
        </w:rPr>
        <w:t>إن هذه التركيزات العالية للأتربة الصدرية لتؤكد على ضرورة الالتفات إلى تحسين البيئة الهوائية بمكة المكرمة بشتى الوسائل والإمكانيات ومن ذلك استخدام رشاشات الماء الرذاذية لترسيب الأتربة العالقة بالهواء في المناطق القريبة من الإنشاءات والتوسعة مثل الساحة الشمالية ،كذلك لا بد من استخدام ناقلات المياه (الوايتات) لرش المياه على الأتربة الصادرة من عمليات الهدم والتكسير للحيلولة دون انتشارها في البيئة الهوائية المحيطة بالمنطقة المركزية، ومن الوسائل الاحترازية التي يمكن إتباعها كذلك البدء بإيقاف عمليات التوسعة والتطوير بالمسعى وبالمناطق المحيطة بالحرم مؤقتا أثناء أوقات الذروة والتي تكثر فيها الحركة بمنطقة الحرم مثل شهر رمضان والحج. كذلك استخدام ناقلات المياه فى رش الطرق الترابية بأحياء مكة المكرمة لتعبيدها وتمهيدها، وأيضا من الضرورى الألتفات إلى زيادة المساحة الخضراء بشوارع وأحياء مكة للحد من تأثير الملوثات والأتربة العالقة.</w:t>
      </w:r>
    </w:p>
    <w:p w14:paraId="1731A39A" w14:textId="77777777" w:rsidR="00A8538B" w:rsidRPr="00EA0E56" w:rsidRDefault="00A8538B" w:rsidP="00A8538B">
      <w:pPr>
        <w:pStyle w:val="a1"/>
        <w:rPr>
          <w:color w:val="000000"/>
          <w:rtl/>
        </w:rPr>
      </w:pPr>
    </w:p>
    <w:p w14:paraId="665E0649" w14:textId="77777777" w:rsidR="00A8538B" w:rsidRPr="00EA0E56" w:rsidRDefault="00A8538B" w:rsidP="00A8538B">
      <w:pPr>
        <w:pStyle w:val="a1"/>
        <w:rPr>
          <w:color w:val="000000"/>
        </w:rPr>
      </w:pPr>
      <w:r w:rsidRPr="00EA0E56">
        <w:rPr>
          <w:color w:val="000000"/>
          <w:rtl/>
        </w:rPr>
        <w:t>جدول (</w:t>
      </w:r>
      <w:r w:rsidRPr="00EA0E56">
        <w:rPr>
          <w:rFonts w:hint="cs"/>
          <w:color w:val="000000"/>
          <w:rtl/>
        </w:rPr>
        <w:t>1</w:t>
      </w:r>
      <w:r w:rsidRPr="00EA0E56">
        <w:rPr>
          <w:color w:val="000000"/>
          <w:rtl/>
        </w:rPr>
        <w:t>): مستويات الأتربة المستنشقة فى مدن متنوعة بدول العالم المختلفة[</w:t>
      </w:r>
      <w:r w:rsidRPr="00EA0E56">
        <w:rPr>
          <w:rFonts w:hint="cs"/>
          <w:color w:val="000000"/>
          <w:rtl/>
        </w:rPr>
        <w:t>16</w:t>
      </w:r>
      <w:r w:rsidRPr="00EA0E56">
        <w:rPr>
          <w:color w:val="000000"/>
          <w:rtl/>
        </w:rPr>
        <w:t>].</w:t>
      </w:r>
    </w:p>
    <w:tbl>
      <w:tblPr>
        <w:bidiVisual/>
        <w:tblW w:w="8184" w:type="dxa"/>
        <w:jc w:val="center"/>
        <w:tblBorders>
          <w:top w:val="thinThickSmallGap" w:sz="24" w:space="0" w:color="auto"/>
          <w:left w:val="thickThinSmallGap" w:sz="24" w:space="0" w:color="auto"/>
          <w:bottom w:val="thickThinSmallGap" w:sz="24" w:space="0" w:color="auto"/>
          <w:right w:val="thinThickSmallGap" w:sz="24" w:space="0" w:color="auto"/>
          <w:insideH w:val="single" w:sz="6" w:space="0" w:color="auto"/>
          <w:insideV w:val="single" w:sz="6" w:space="0" w:color="auto"/>
        </w:tblBorders>
        <w:tblLook w:val="04A0" w:firstRow="1" w:lastRow="0" w:firstColumn="1" w:lastColumn="0" w:noHBand="0" w:noVBand="1"/>
      </w:tblPr>
      <w:tblGrid>
        <w:gridCol w:w="2123"/>
        <w:gridCol w:w="2126"/>
        <w:gridCol w:w="2268"/>
        <w:gridCol w:w="1667"/>
      </w:tblGrid>
      <w:tr w:rsidR="00A8538B" w:rsidRPr="00EA0E56" w14:paraId="5FE6CE9D" w14:textId="77777777" w:rsidTr="00CA64ED">
        <w:trPr>
          <w:trHeight w:val="170"/>
          <w:tblHeader/>
          <w:jc w:val="center"/>
        </w:trPr>
        <w:tc>
          <w:tcPr>
            <w:tcW w:w="65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241954" w14:textId="77777777" w:rsidR="00A8538B" w:rsidRPr="00EA0E56" w:rsidRDefault="00A8538B" w:rsidP="00CA64ED">
            <w:pPr>
              <w:pStyle w:val="a1"/>
              <w:jc w:val="center"/>
              <w:rPr>
                <w:color w:val="000000"/>
                <w:sz w:val="20"/>
                <w:szCs w:val="20"/>
                <w:rtl/>
              </w:rPr>
            </w:pPr>
            <w:r w:rsidRPr="00EA0E56">
              <w:rPr>
                <w:color w:val="000000"/>
                <w:sz w:val="20"/>
                <w:szCs w:val="20"/>
                <w:rtl/>
              </w:rPr>
              <w:t>البلد</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43EC7A31" w14:textId="77777777" w:rsidR="00A8538B" w:rsidRPr="00EA0E56" w:rsidRDefault="00A8538B" w:rsidP="00CA64ED">
            <w:pPr>
              <w:pStyle w:val="a1"/>
              <w:jc w:val="center"/>
              <w:rPr>
                <w:color w:val="000000"/>
                <w:sz w:val="20"/>
                <w:szCs w:val="20"/>
              </w:rPr>
            </w:pPr>
            <w:r w:rsidRPr="00EA0E56">
              <w:rPr>
                <w:color w:val="000000"/>
                <w:sz w:val="20"/>
                <w:szCs w:val="20"/>
                <w:rtl/>
              </w:rPr>
              <w:t>الأتربة الصدرية</w:t>
            </w:r>
          </w:p>
          <w:p w14:paraId="62187900" w14:textId="77777777" w:rsidR="00A8538B" w:rsidRPr="00EA0E56" w:rsidRDefault="00A8538B" w:rsidP="00CA64ED">
            <w:pPr>
              <w:pStyle w:val="a1"/>
              <w:jc w:val="center"/>
              <w:rPr>
                <w:color w:val="000000"/>
                <w:sz w:val="20"/>
                <w:szCs w:val="20"/>
              </w:rPr>
            </w:pPr>
            <w:r w:rsidRPr="00EA0E56">
              <w:rPr>
                <w:color w:val="000000"/>
                <w:sz w:val="20"/>
                <w:szCs w:val="20"/>
              </w:rPr>
              <w:t>PM10</w:t>
            </w:r>
          </w:p>
        </w:tc>
      </w:tr>
      <w:tr w:rsidR="00A8538B" w:rsidRPr="00EA0E56" w14:paraId="79DE8D53" w14:textId="77777777" w:rsidTr="00CA64ED">
        <w:trPr>
          <w:trHeight w:val="170"/>
          <w:jc w:val="center"/>
        </w:trPr>
        <w:tc>
          <w:tcPr>
            <w:tcW w:w="21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91402B" w14:textId="77777777" w:rsidR="00A8538B" w:rsidRPr="00EA0E56" w:rsidRDefault="00A8538B" w:rsidP="00CA64ED">
            <w:pPr>
              <w:pStyle w:val="a1"/>
              <w:jc w:val="center"/>
              <w:rPr>
                <w:color w:val="000000"/>
                <w:sz w:val="20"/>
                <w:szCs w:val="20"/>
              </w:rPr>
            </w:pPr>
            <w:r w:rsidRPr="00EA0E56">
              <w:rPr>
                <w:color w:val="000000"/>
                <w:sz w:val="20"/>
                <w:szCs w:val="20"/>
                <w:rtl/>
              </w:rPr>
              <w:t>المملكة العربية السعودية</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577103" w14:textId="77777777" w:rsidR="00A8538B" w:rsidRPr="00EA0E56" w:rsidRDefault="00A8538B" w:rsidP="00CA64ED">
            <w:pPr>
              <w:pStyle w:val="a1"/>
              <w:jc w:val="center"/>
              <w:rPr>
                <w:color w:val="000000"/>
                <w:sz w:val="20"/>
                <w:szCs w:val="20"/>
              </w:rPr>
            </w:pPr>
            <w:r w:rsidRPr="00EA0E56">
              <w:rPr>
                <w:color w:val="000000"/>
                <w:sz w:val="20"/>
                <w:szCs w:val="20"/>
                <w:rtl/>
              </w:rPr>
              <w:t>الدراسة الحالية 1435هـ</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C974D32" w14:textId="77777777" w:rsidR="00A8538B" w:rsidRPr="00EA0E56" w:rsidRDefault="00A8538B" w:rsidP="00CA64ED">
            <w:pPr>
              <w:pStyle w:val="a1"/>
              <w:jc w:val="center"/>
              <w:rPr>
                <w:color w:val="000000"/>
                <w:sz w:val="20"/>
                <w:szCs w:val="20"/>
                <w:rtl/>
              </w:rPr>
            </w:pPr>
            <w:r w:rsidRPr="00EA0E56">
              <w:rPr>
                <w:color w:val="000000"/>
                <w:sz w:val="20"/>
                <w:szCs w:val="20"/>
                <w:rtl/>
              </w:rPr>
              <w:t>المنطقة المركزية (الشبيكة)</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2379271F" w14:textId="77777777" w:rsidR="00A8538B" w:rsidRPr="00EA0E56" w:rsidRDefault="00A8538B" w:rsidP="00CA64ED">
            <w:pPr>
              <w:pStyle w:val="a1"/>
              <w:jc w:val="center"/>
              <w:rPr>
                <w:color w:val="000000"/>
                <w:sz w:val="20"/>
                <w:szCs w:val="20"/>
                <w:rtl/>
              </w:rPr>
            </w:pPr>
            <w:r w:rsidRPr="00EA0E56">
              <w:rPr>
                <w:color w:val="000000"/>
                <w:sz w:val="20"/>
                <w:szCs w:val="20"/>
                <w:rtl/>
              </w:rPr>
              <w:t>186.1 – 343.2</w:t>
            </w:r>
          </w:p>
        </w:tc>
      </w:tr>
      <w:tr w:rsidR="00A8538B" w:rsidRPr="00EA0E56" w14:paraId="5A508B26" w14:textId="77777777" w:rsidTr="00CA64ED">
        <w:trPr>
          <w:trHeight w:val="170"/>
          <w:jc w:val="center"/>
        </w:trPr>
        <w:tc>
          <w:tcPr>
            <w:tcW w:w="212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9E0AAC7" w14:textId="77777777" w:rsidR="00A8538B" w:rsidRPr="00EA0E56" w:rsidRDefault="00A8538B" w:rsidP="00CA64ED">
            <w:pPr>
              <w:pStyle w:val="a1"/>
              <w:jc w:val="center"/>
              <w:rPr>
                <w:color w:val="000000"/>
                <w:sz w:val="20"/>
                <w:szCs w:val="20"/>
                <w:rtl/>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04776C" w14:textId="77777777" w:rsidR="00A8538B" w:rsidRPr="00EA0E56" w:rsidRDefault="00A8538B" w:rsidP="00CA64ED">
            <w:pPr>
              <w:pStyle w:val="a1"/>
              <w:jc w:val="center"/>
              <w:rPr>
                <w:color w:val="000000"/>
                <w:sz w:val="20"/>
                <w:szCs w:val="20"/>
                <w:rtl/>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5664FFD" w14:textId="77777777" w:rsidR="00A8538B" w:rsidRPr="00EA0E56" w:rsidRDefault="00A8538B" w:rsidP="00CA64ED">
            <w:pPr>
              <w:pStyle w:val="a1"/>
              <w:jc w:val="center"/>
              <w:rPr>
                <w:color w:val="000000"/>
                <w:sz w:val="20"/>
                <w:szCs w:val="20"/>
                <w:rtl/>
              </w:rPr>
            </w:pPr>
            <w:r w:rsidRPr="00EA0E56">
              <w:rPr>
                <w:color w:val="000000"/>
                <w:sz w:val="20"/>
                <w:szCs w:val="20"/>
                <w:rtl/>
              </w:rPr>
              <w:t>المسفلة</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61176A29" w14:textId="77777777" w:rsidR="00A8538B" w:rsidRPr="00EA0E56" w:rsidRDefault="00A8538B" w:rsidP="00CA64ED">
            <w:pPr>
              <w:pStyle w:val="a1"/>
              <w:jc w:val="center"/>
              <w:rPr>
                <w:color w:val="000000"/>
                <w:sz w:val="20"/>
                <w:szCs w:val="20"/>
                <w:rtl/>
              </w:rPr>
            </w:pPr>
            <w:r w:rsidRPr="00EA0E56">
              <w:rPr>
                <w:color w:val="000000"/>
                <w:sz w:val="20"/>
                <w:szCs w:val="20"/>
                <w:rtl/>
              </w:rPr>
              <w:t>145.6 – 271.4</w:t>
            </w:r>
          </w:p>
        </w:tc>
      </w:tr>
      <w:tr w:rsidR="00A8538B" w:rsidRPr="00EA0E56" w14:paraId="23BB870D" w14:textId="77777777" w:rsidTr="00CA64ED">
        <w:trPr>
          <w:trHeight w:val="170"/>
          <w:jc w:val="center"/>
        </w:trPr>
        <w:tc>
          <w:tcPr>
            <w:tcW w:w="212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F70BFE" w14:textId="77777777" w:rsidR="00A8538B" w:rsidRPr="00EA0E56" w:rsidRDefault="00A8538B" w:rsidP="00CA64ED">
            <w:pPr>
              <w:pStyle w:val="a1"/>
              <w:jc w:val="center"/>
              <w:rPr>
                <w:color w:val="000000"/>
                <w:sz w:val="20"/>
                <w:szCs w:val="20"/>
                <w:rtl/>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693EB49" w14:textId="77777777" w:rsidR="00A8538B" w:rsidRPr="00EA0E56" w:rsidRDefault="00A8538B" w:rsidP="00CA64ED">
            <w:pPr>
              <w:pStyle w:val="a1"/>
              <w:jc w:val="center"/>
              <w:rPr>
                <w:color w:val="000000"/>
                <w:sz w:val="20"/>
                <w:szCs w:val="20"/>
                <w:rtl/>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3B62B75" w14:textId="77777777" w:rsidR="00A8538B" w:rsidRPr="00EA0E56" w:rsidRDefault="00A8538B" w:rsidP="00CA64ED">
            <w:pPr>
              <w:pStyle w:val="a1"/>
              <w:jc w:val="center"/>
              <w:rPr>
                <w:color w:val="000000"/>
                <w:sz w:val="20"/>
                <w:szCs w:val="20"/>
                <w:rtl/>
              </w:rPr>
            </w:pPr>
            <w:r w:rsidRPr="00EA0E56">
              <w:rPr>
                <w:color w:val="000000"/>
                <w:sz w:val="20"/>
                <w:szCs w:val="20"/>
                <w:rtl/>
              </w:rPr>
              <w:t>العزيزية</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6EADFC78" w14:textId="77777777" w:rsidR="00A8538B" w:rsidRPr="00EA0E56" w:rsidRDefault="00A8538B" w:rsidP="00CA64ED">
            <w:pPr>
              <w:pStyle w:val="a1"/>
              <w:jc w:val="center"/>
              <w:rPr>
                <w:color w:val="000000"/>
                <w:sz w:val="20"/>
                <w:szCs w:val="20"/>
                <w:rtl/>
              </w:rPr>
            </w:pPr>
            <w:r w:rsidRPr="00EA0E56">
              <w:rPr>
                <w:color w:val="000000"/>
                <w:sz w:val="20"/>
                <w:szCs w:val="20"/>
                <w:rtl/>
              </w:rPr>
              <w:t>92.4 – 253.8</w:t>
            </w:r>
          </w:p>
        </w:tc>
      </w:tr>
      <w:tr w:rsidR="00A8538B" w:rsidRPr="00EA0E56" w14:paraId="74FCB72A" w14:textId="77777777" w:rsidTr="00CA64ED">
        <w:trPr>
          <w:trHeight w:val="170"/>
          <w:jc w:val="center"/>
        </w:trPr>
        <w:tc>
          <w:tcPr>
            <w:tcW w:w="212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38B026" w14:textId="77777777" w:rsidR="00A8538B" w:rsidRPr="00EA0E56" w:rsidRDefault="00A8538B" w:rsidP="00CA64ED">
            <w:pPr>
              <w:pStyle w:val="a1"/>
              <w:jc w:val="center"/>
              <w:rPr>
                <w:color w:val="000000"/>
                <w:sz w:val="20"/>
                <w:szCs w:val="20"/>
                <w:rtl/>
              </w:rPr>
            </w:pP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5CA8502" w14:textId="77777777" w:rsidR="00A8538B" w:rsidRPr="00EA0E56" w:rsidRDefault="00A8538B" w:rsidP="00CA64ED">
            <w:pPr>
              <w:pStyle w:val="a1"/>
              <w:jc w:val="center"/>
              <w:rPr>
                <w:color w:val="000000"/>
                <w:sz w:val="20"/>
                <w:szCs w:val="20"/>
                <w:rtl/>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55D8A72" w14:textId="77777777" w:rsidR="00A8538B" w:rsidRPr="00EA0E56" w:rsidRDefault="00A8538B" w:rsidP="00CA64ED">
            <w:pPr>
              <w:pStyle w:val="a1"/>
              <w:jc w:val="center"/>
              <w:rPr>
                <w:color w:val="000000"/>
                <w:sz w:val="20"/>
                <w:szCs w:val="20"/>
                <w:rtl/>
              </w:rPr>
            </w:pPr>
            <w:r w:rsidRPr="00EA0E56">
              <w:rPr>
                <w:color w:val="000000"/>
                <w:sz w:val="20"/>
                <w:szCs w:val="20"/>
                <w:rtl/>
              </w:rPr>
              <w:t>العوالى</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009526C3" w14:textId="77777777" w:rsidR="00A8538B" w:rsidRPr="00EA0E56" w:rsidRDefault="00A8538B" w:rsidP="00CA64ED">
            <w:pPr>
              <w:pStyle w:val="a1"/>
              <w:jc w:val="center"/>
              <w:rPr>
                <w:color w:val="000000"/>
                <w:sz w:val="20"/>
                <w:szCs w:val="20"/>
                <w:rtl/>
              </w:rPr>
            </w:pPr>
            <w:r w:rsidRPr="00EA0E56">
              <w:rPr>
                <w:color w:val="000000"/>
                <w:sz w:val="20"/>
                <w:szCs w:val="20"/>
                <w:rtl/>
              </w:rPr>
              <w:t>44.5 – 119.8</w:t>
            </w:r>
          </w:p>
        </w:tc>
      </w:tr>
      <w:tr w:rsidR="00A8538B" w:rsidRPr="00EA0E56" w14:paraId="1C375F7E" w14:textId="77777777" w:rsidTr="00CA64ED">
        <w:trPr>
          <w:trHeight w:val="170"/>
          <w:jc w:val="center"/>
        </w:trPr>
        <w:tc>
          <w:tcPr>
            <w:tcW w:w="212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E0BCC88" w14:textId="77777777" w:rsidR="00A8538B" w:rsidRPr="00EA0E56" w:rsidRDefault="00A8538B" w:rsidP="00CA64ED">
            <w:pPr>
              <w:pStyle w:val="a1"/>
              <w:jc w:val="center"/>
              <w:rPr>
                <w:color w:val="000000"/>
                <w:sz w:val="20"/>
                <w:szCs w:val="20"/>
              </w:rPr>
            </w:pPr>
          </w:p>
        </w:tc>
        <w:tc>
          <w:tcPr>
            <w:tcW w:w="43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B24F9A" w14:textId="77777777" w:rsidR="00A8538B" w:rsidRPr="00EA0E56" w:rsidRDefault="00A8538B" w:rsidP="00CA64ED">
            <w:pPr>
              <w:pStyle w:val="a1"/>
              <w:jc w:val="center"/>
              <w:rPr>
                <w:color w:val="000000"/>
                <w:sz w:val="20"/>
                <w:szCs w:val="20"/>
                <w:rtl/>
              </w:rPr>
            </w:pPr>
            <w:r w:rsidRPr="00EA0E56">
              <w:rPr>
                <w:color w:val="000000"/>
                <w:sz w:val="20"/>
                <w:szCs w:val="20"/>
                <w:rtl/>
              </w:rPr>
              <w:t>مكة المكرمة</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64A4AABF" w14:textId="77777777" w:rsidR="00A8538B" w:rsidRPr="00EA0E56" w:rsidRDefault="00A8538B" w:rsidP="00CA64ED">
            <w:pPr>
              <w:pStyle w:val="a1"/>
              <w:jc w:val="center"/>
              <w:rPr>
                <w:color w:val="000000"/>
                <w:sz w:val="20"/>
                <w:szCs w:val="20"/>
                <w:rtl/>
              </w:rPr>
            </w:pPr>
            <w:r w:rsidRPr="00EA0E56">
              <w:rPr>
                <w:color w:val="000000"/>
                <w:sz w:val="20"/>
                <w:szCs w:val="20"/>
                <w:rtl/>
              </w:rPr>
              <w:t>145.4</w:t>
            </w:r>
          </w:p>
        </w:tc>
      </w:tr>
      <w:tr w:rsidR="00A8538B" w:rsidRPr="00EA0E56" w14:paraId="5E972DA4" w14:textId="77777777" w:rsidTr="00CA64ED">
        <w:trPr>
          <w:trHeight w:val="170"/>
          <w:jc w:val="center"/>
        </w:trPr>
        <w:tc>
          <w:tcPr>
            <w:tcW w:w="21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3573327" w14:textId="77777777" w:rsidR="00A8538B" w:rsidRPr="00EA0E56" w:rsidRDefault="00A8538B" w:rsidP="00CA64ED">
            <w:pPr>
              <w:pStyle w:val="a1"/>
              <w:jc w:val="center"/>
              <w:rPr>
                <w:color w:val="000000"/>
                <w:sz w:val="20"/>
                <w:szCs w:val="20"/>
                <w:rtl/>
              </w:rPr>
            </w:pPr>
            <w:r w:rsidRPr="00EA0E56">
              <w:rPr>
                <w:color w:val="000000"/>
                <w:sz w:val="20"/>
                <w:szCs w:val="20"/>
                <w:rtl/>
              </w:rPr>
              <w:t>الصين</w:t>
            </w:r>
          </w:p>
        </w:tc>
        <w:tc>
          <w:tcPr>
            <w:tcW w:w="43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52127F" w14:textId="77777777" w:rsidR="00A8538B" w:rsidRPr="00EA0E56" w:rsidRDefault="00A8538B" w:rsidP="00CA64ED">
            <w:pPr>
              <w:pStyle w:val="a1"/>
              <w:jc w:val="center"/>
              <w:rPr>
                <w:color w:val="000000"/>
                <w:sz w:val="20"/>
                <w:szCs w:val="20"/>
                <w:rtl/>
              </w:rPr>
            </w:pPr>
            <w:r w:rsidRPr="00EA0E56">
              <w:rPr>
                <w:color w:val="000000"/>
                <w:sz w:val="20"/>
                <w:szCs w:val="20"/>
                <w:rtl/>
              </w:rPr>
              <w:t>نانجينج</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4E9C55DF" w14:textId="77777777" w:rsidR="00A8538B" w:rsidRPr="00EA0E56" w:rsidRDefault="00A8538B" w:rsidP="00CA64ED">
            <w:pPr>
              <w:pStyle w:val="a1"/>
              <w:jc w:val="center"/>
              <w:rPr>
                <w:color w:val="000000"/>
                <w:sz w:val="20"/>
                <w:szCs w:val="20"/>
                <w:rtl/>
              </w:rPr>
            </w:pPr>
            <w:r w:rsidRPr="00EA0E56">
              <w:rPr>
                <w:color w:val="000000"/>
                <w:sz w:val="20"/>
                <w:szCs w:val="20"/>
                <w:rtl/>
              </w:rPr>
              <w:t>682.0</w:t>
            </w:r>
          </w:p>
        </w:tc>
      </w:tr>
      <w:tr w:rsidR="00A8538B" w:rsidRPr="00EA0E56" w14:paraId="738C6A0C" w14:textId="77777777" w:rsidTr="00CA64ED">
        <w:trPr>
          <w:trHeight w:val="170"/>
          <w:jc w:val="center"/>
        </w:trPr>
        <w:tc>
          <w:tcPr>
            <w:tcW w:w="212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BEE06A" w14:textId="77777777" w:rsidR="00A8538B" w:rsidRPr="00EA0E56" w:rsidRDefault="00A8538B" w:rsidP="00CA64ED">
            <w:pPr>
              <w:pStyle w:val="a1"/>
              <w:jc w:val="center"/>
              <w:rPr>
                <w:color w:val="000000"/>
                <w:sz w:val="20"/>
                <w:szCs w:val="20"/>
              </w:rPr>
            </w:pPr>
          </w:p>
        </w:tc>
        <w:tc>
          <w:tcPr>
            <w:tcW w:w="43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B43BAA" w14:textId="77777777" w:rsidR="00A8538B" w:rsidRPr="00EA0E56" w:rsidRDefault="00A8538B" w:rsidP="00CA64ED">
            <w:pPr>
              <w:pStyle w:val="a1"/>
              <w:jc w:val="center"/>
              <w:rPr>
                <w:color w:val="000000"/>
                <w:sz w:val="20"/>
                <w:szCs w:val="20"/>
              </w:rPr>
            </w:pPr>
            <w:r w:rsidRPr="00EA0E56">
              <w:rPr>
                <w:color w:val="000000"/>
                <w:sz w:val="20"/>
                <w:szCs w:val="20"/>
                <w:rtl/>
              </w:rPr>
              <w:t>بكين</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0661DDF3" w14:textId="77777777" w:rsidR="00A8538B" w:rsidRPr="00EA0E56" w:rsidRDefault="00A8538B" w:rsidP="00CA64ED">
            <w:pPr>
              <w:pStyle w:val="a1"/>
              <w:jc w:val="center"/>
              <w:rPr>
                <w:color w:val="000000"/>
                <w:sz w:val="20"/>
                <w:szCs w:val="20"/>
                <w:rtl/>
              </w:rPr>
            </w:pPr>
            <w:r w:rsidRPr="00EA0E56">
              <w:rPr>
                <w:color w:val="000000"/>
                <w:sz w:val="20"/>
                <w:szCs w:val="20"/>
                <w:rtl/>
              </w:rPr>
              <w:t>506.9</w:t>
            </w:r>
          </w:p>
        </w:tc>
      </w:tr>
      <w:tr w:rsidR="00A8538B" w:rsidRPr="00EA0E56" w14:paraId="44209127" w14:textId="77777777" w:rsidTr="00CA64ED">
        <w:trPr>
          <w:trHeight w:val="170"/>
          <w:jc w:val="center"/>
        </w:trPr>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14:paraId="6CCD4618" w14:textId="77777777" w:rsidR="00A8538B" w:rsidRPr="00EA0E56" w:rsidRDefault="00A8538B" w:rsidP="00CA64ED">
            <w:pPr>
              <w:pStyle w:val="a1"/>
              <w:jc w:val="center"/>
              <w:rPr>
                <w:color w:val="000000"/>
                <w:sz w:val="20"/>
                <w:szCs w:val="20"/>
              </w:rPr>
            </w:pPr>
            <w:r w:rsidRPr="00EA0E56">
              <w:rPr>
                <w:color w:val="000000"/>
                <w:sz w:val="20"/>
                <w:szCs w:val="20"/>
                <w:rtl/>
              </w:rPr>
              <w:t>الهند</w:t>
            </w:r>
          </w:p>
        </w:tc>
        <w:tc>
          <w:tcPr>
            <w:tcW w:w="43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06EAC0" w14:textId="77777777" w:rsidR="00A8538B" w:rsidRPr="00EA0E56" w:rsidRDefault="00A8538B" w:rsidP="00CA64ED">
            <w:pPr>
              <w:pStyle w:val="a1"/>
              <w:jc w:val="center"/>
              <w:rPr>
                <w:color w:val="000000"/>
                <w:sz w:val="20"/>
                <w:szCs w:val="20"/>
              </w:rPr>
            </w:pPr>
            <w:r w:rsidRPr="00EA0E56">
              <w:rPr>
                <w:color w:val="000000"/>
                <w:sz w:val="20"/>
                <w:szCs w:val="20"/>
                <w:rtl/>
              </w:rPr>
              <w:t>احمد اباد</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16688E1C" w14:textId="77777777" w:rsidR="00A8538B" w:rsidRPr="00EA0E56" w:rsidRDefault="00A8538B" w:rsidP="00CA64ED">
            <w:pPr>
              <w:pStyle w:val="a1"/>
              <w:jc w:val="center"/>
              <w:rPr>
                <w:color w:val="000000"/>
                <w:sz w:val="20"/>
                <w:szCs w:val="20"/>
              </w:rPr>
            </w:pPr>
            <w:r w:rsidRPr="00EA0E56">
              <w:rPr>
                <w:color w:val="000000"/>
                <w:sz w:val="20"/>
                <w:szCs w:val="20"/>
                <w:rtl/>
              </w:rPr>
              <w:t>171.0</w:t>
            </w:r>
          </w:p>
        </w:tc>
      </w:tr>
      <w:tr w:rsidR="00A8538B" w:rsidRPr="00EA0E56" w14:paraId="16AA7E33" w14:textId="77777777" w:rsidTr="00CA64ED">
        <w:trPr>
          <w:trHeight w:val="170"/>
          <w:jc w:val="center"/>
        </w:trPr>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14:paraId="306D5BDC" w14:textId="77777777" w:rsidR="00A8538B" w:rsidRPr="00EA0E56" w:rsidRDefault="00A8538B" w:rsidP="00CA64ED">
            <w:pPr>
              <w:pStyle w:val="a1"/>
              <w:jc w:val="center"/>
              <w:rPr>
                <w:color w:val="000000"/>
                <w:sz w:val="20"/>
                <w:szCs w:val="20"/>
              </w:rPr>
            </w:pPr>
            <w:r w:rsidRPr="00EA0E56">
              <w:rPr>
                <w:color w:val="000000"/>
                <w:sz w:val="20"/>
                <w:szCs w:val="20"/>
                <w:rtl/>
              </w:rPr>
              <w:t>تايوان</w:t>
            </w:r>
          </w:p>
        </w:tc>
        <w:tc>
          <w:tcPr>
            <w:tcW w:w="43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69E6D4" w14:textId="77777777" w:rsidR="00A8538B" w:rsidRPr="00EA0E56" w:rsidRDefault="00A8538B" w:rsidP="00CA64ED">
            <w:pPr>
              <w:pStyle w:val="a1"/>
              <w:jc w:val="center"/>
              <w:rPr>
                <w:color w:val="000000"/>
                <w:sz w:val="20"/>
                <w:szCs w:val="20"/>
              </w:rPr>
            </w:pPr>
            <w:r w:rsidRPr="00EA0E56">
              <w:rPr>
                <w:color w:val="000000"/>
                <w:sz w:val="20"/>
                <w:szCs w:val="20"/>
                <w:rtl/>
              </w:rPr>
              <w:t>شاوشو</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6FC94009" w14:textId="77777777" w:rsidR="00A8538B" w:rsidRPr="00EA0E56" w:rsidRDefault="00A8538B" w:rsidP="00CA64ED">
            <w:pPr>
              <w:pStyle w:val="a1"/>
              <w:jc w:val="center"/>
              <w:rPr>
                <w:color w:val="000000"/>
                <w:sz w:val="20"/>
                <w:szCs w:val="20"/>
                <w:rtl/>
              </w:rPr>
            </w:pPr>
            <w:r w:rsidRPr="00EA0E56">
              <w:rPr>
                <w:color w:val="000000"/>
                <w:sz w:val="20"/>
                <w:szCs w:val="20"/>
                <w:rtl/>
              </w:rPr>
              <w:t>115.0</w:t>
            </w:r>
          </w:p>
        </w:tc>
      </w:tr>
      <w:tr w:rsidR="00A8538B" w:rsidRPr="00EA0E56" w14:paraId="1F955F60" w14:textId="77777777" w:rsidTr="00CA64ED">
        <w:trPr>
          <w:trHeight w:val="170"/>
          <w:jc w:val="center"/>
        </w:trPr>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14:paraId="25B837C8" w14:textId="77777777" w:rsidR="00A8538B" w:rsidRPr="00EA0E56" w:rsidRDefault="00A8538B" w:rsidP="00CA64ED">
            <w:pPr>
              <w:pStyle w:val="a1"/>
              <w:jc w:val="center"/>
              <w:rPr>
                <w:color w:val="000000"/>
                <w:sz w:val="20"/>
                <w:szCs w:val="20"/>
              </w:rPr>
            </w:pPr>
            <w:r w:rsidRPr="00EA0E56">
              <w:rPr>
                <w:color w:val="000000"/>
                <w:sz w:val="20"/>
                <w:szCs w:val="20"/>
                <w:rtl/>
              </w:rPr>
              <w:t>تركيا</w:t>
            </w:r>
          </w:p>
        </w:tc>
        <w:tc>
          <w:tcPr>
            <w:tcW w:w="43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40B18D" w14:textId="77777777" w:rsidR="00A8538B" w:rsidRPr="00EA0E56" w:rsidRDefault="00A8538B" w:rsidP="00CA64ED">
            <w:pPr>
              <w:pStyle w:val="a1"/>
              <w:jc w:val="center"/>
              <w:rPr>
                <w:color w:val="000000"/>
                <w:sz w:val="20"/>
                <w:szCs w:val="20"/>
              </w:rPr>
            </w:pPr>
            <w:r w:rsidRPr="00EA0E56">
              <w:rPr>
                <w:color w:val="000000"/>
                <w:sz w:val="20"/>
                <w:szCs w:val="20"/>
                <w:rtl/>
              </w:rPr>
              <w:t>ارديملى</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77E8230B" w14:textId="77777777" w:rsidR="00A8538B" w:rsidRPr="00EA0E56" w:rsidRDefault="00A8538B" w:rsidP="00CA64ED">
            <w:pPr>
              <w:pStyle w:val="a1"/>
              <w:jc w:val="center"/>
              <w:rPr>
                <w:color w:val="000000"/>
                <w:sz w:val="20"/>
                <w:szCs w:val="20"/>
                <w:rtl/>
              </w:rPr>
            </w:pPr>
            <w:r w:rsidRPr="00EA0E56">
              <w:rPr>
                <w:color w:val="000000"/>
                <w:sz w:val="20"/>
                <w:szCs w:val="20"/>
                <w:rtl/>
              </w:rPr>
              <w:t>26.7</w:t>
            </w:r>
          </w:p>
        </w:tc>
      </w:tr>
      <w:tr w:rsidR="00A8538B" w:rsidRPr="00EA0E56" w14:paraId="49DD501C" w14:textId="77777777" w:rsidTr="00CA64ED">
        <w:trPr>
          <w:trHeight w:val="170"/>
          <w:jc w:val="center"/>
        </w:trPr>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14:paraId="40789B73" w14:textId="77777777" w:rsidR="00A8538B" w:rsidRPr="00EA0E56" w:rsidRDefault="00A8538B" w:rsidP="00CA64ED">
            <w:pPr>
              <w:pStyle w:val="a1"/>
              <w:jc w:val="center"/>
              <w:rPr>
                <w:color w:val="000000"/>
                <w:sz w:val="20"/>
                <w:szCs w:val="20"/>
              </w:rPr>
            </w:pPr>
            <w:r w:rsidRPr="00EA0E56">
              <w:rPr>
                <w:color w:val="000000"/>
                <w:sz w:val="20"/>
                <w:szCs w:val="20"/>
                <w:rtl/>
              </w:rPr>
              <w:t>سويسرا</w:t>
            </w:r>
          </w:p>
        </w:tc>
        <w:tc>
          <w:tcPr>
            <w:tcW w:w="43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F05FBE" w14:textId="77777777" w:rsidR="00A8538B" w:rsidRPr="00EA0E56" w:rsidRDefault="00A8538B" w:rsidP="00CA64ED">
            <w:pPr>
              <w:pStyle w:val="a1"/>
              <w:jc w:val="center"/>
              <w:rPr>
                <w:color w:val="000000"/>
                <w:sz w:val="20"/>
                <w:szCs w:val="20"/>
              </w:rPr>
            </w:pPr>
            <w:r w:rsidRPr="00EA0E56">
              <w:rPr>
                <w:color w:val="000000"/>
                <w:sz w:val="20"/>
                <w:szCs w:val="20"/>
                <w:rtl/>
              </w:rPr>
              <w:t>برن</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3995FB7A" w14:textId="77777777" w:rsidR="00A8538B" w:rsidRPr="00EA0E56" w:rsidRDefault="00A8538B" w:rsidP="00CA64ED">
            <w:pPr>
              <w:pStyle w:val="a1"/>
              <w:jc w:val="center"/>
              <w:rPr>
                <w:color w:val="000000"/>
                <w:sz w:val="20"/>
                <w:szCs w:val="20"/>
                <w:rtl/>
              </w:rPr>
            </w:pPr>
            <w:r w:rsidRPr="00EA0E56">
              <w:rPr>
                <w:color w:val="000000"/>
                <w:sz w:val="20"/>
                <w:szCs w:val="20"/>
                <w:rtl/>
              </w:rPr>
              <w:t>40.2</w:t>
            </w:r>
          </w:p>
        </w:tc>
      </w:tr>
      <w:tr w:rsidR="00A8538B" w:rsidRPr="00EA0E56" w14:paraId="2E7F4902" w14:textId="77777777" w:rsidTr="00CA64ED">
        <w:trPr>
          <w:trHeight w:val="170"/>
          <w:jc w:val="center"/>
        </w:trPr>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14:paraId="4A572560" w14:textId="77777777" w:rsidR="00A8538B" w:rsidRPr="00EA0E56" w:rsidRDefault="00A8538B" w:rsidP="00CA64ED">
            <w:pPr>
              <w:pStyle w:val="a1"/>
              <w:jc w:val="center"/>
              <w:rPr>
                <w:color w:val="000000"/>
                <w:sz w:val="20"/>
                <w:szCs w:val="20"/>
                <w:rtl/>
              </w:rPr>
            </w:pPr>
            <w:r w:rsidRPr="00EA0E56">
              <w:rPr>
                <w:color w:val="000000"/>
                <w:sz w:val="20"/>
                <w:szCs w:val="20"/>
                <w:rtl/>
              </w:rPr>
              <w:t>ايطاليا</w:t>
            </w:r>
          </w:p>
        </w:tc>
        <w:tc>
          <w:tcPr>
            <w:tcW w:w="43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41C099" w14:textId="77777777" w:rsidR="00A8538B" w:rsidRPr="00EA0E56" w:rsidRDefault="00A8538B" w:rsidP="00CA64ED">
            <w:pPr>
              <w:pStyle w:val="a1"/>
              <w:jc w:val="center"/>
              <w:rPr>
                <w:color w:val="000000"/>
                <w:sz w:val="20"/>
                <w:szCs w:val="20"/>
              </w:rPr>
            </w:pPr>
            <w:r w:rsidRPr="00EA0E56">
              <w:rPr>
                <w:color w:val="000000"/>
                <w:sz w:val="20"/>
                <w:szCs w:val="20"/>
                <w:rtl/>
              </w:rPr>
              <w:t>مونت سيمون</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51867690" w14:textId="77777777" w:rsidR="00A8538B" w:rsidRPr="00EA0E56" w:rsidRDefault="00A8538B" w:rsidP="00CA64ED">
            <w:pPr>
              <w:pStyle w:val="a1"/>
              <w:jc w:val="center"/>
              <w:rPr>
                <w:color w:val="000000"/>
                <w:sz w:val="20"/>
                <w:szCs w:val="20"/>
                <w:rtl/>
              </w:rPr>
            </w:pPr>
            <w:r w:rsidRPr="00EA0E56">
              <w:rPr>
                <w:color w:val="000000"/>
                <w:sz w:val="20"/>
                <w:szCs w:val="20"/>
                <w:rtl/>
              </w:rPr>
              <w:t>16.0</w:t>
            </w:r>
          </w:p>
        </w:tc>
      </w:tr>
      <w:tr w:rsidR="00A8538B" w:rsidRPr="00EA0E56" w14:paraId="77E1D609" w14:textId="77777777" w:rsidTr="00CA64ED">
        <w:trPr>
          <w:trHeight w:val="170"/>
          <w:jc w:val="center"/>
        </w:trPr>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14:paraId="64208B45" w14:textId="77777777" w:rsidR="00A8538B" w:rsidRPr="00EA0E56" w:rsidRDefault="00A8538B" w:rsidP="00CA64ED">
            <w:pPr>
              <w:pStyle w:val="a1"/>
              <w:jc w:val="center"/>
              <w:rPr>
                <w:color w:val="000000"/>
                <w:sz w:val="20"/>
                <w:szCs w:val="20"/>
              </w:rPr>
            </w:pPr>
            <w:r w:rsidRPr="00EA0E56">
              <w:rPr>
                <w:color w:val="000000"/>
                <w:sz w:val="20"/>
                <w:szCs w:val="20"/>
                <w:rtl/>
              </w:rPr>
              <w:t>اليونان</w:t>
            </w:r>
          </w:p>
        </w:tc>
        <w:tc>
          <w:tcPr>
            <w:tcW w:w="43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8BC316" w14:textId="77777777" w:rsidR="00A8538B" w:rsidRPr="00EA0E56" w:rsidRDefault="00A8538B" w:rsidP="00CA64ED">
            <w:pPr>
              <w:pStyle w:val="a1"/>
              <w:jc w:val="center"/>
              <w:rPr>
                <w:color w:val="000000"/>
                <w:sz w:val="20"/>
                <w:szCs w:val="20"/>
              </w:rPr>
            </w:pPr>
            <w:r w:rsidRPr="00EA0E56">
              <w:rPr>
                <w:color w:val="000000"/>
                <w:sz w:val="20"/>
                <w:szCs w:val="20"/>
                <w:rtl/>
              </w:rPr>
              <w:t>اثينا</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3FC807D9" w14:textId="77777777" w:rsidR="00A8538B" w:rsidRPr="00EA0E56" w:rsidRDefault="00A8538B" w:rsidP="00CA64ED">
            <w:pPr>
              <w:pStyle w:val="a1"/>
              <w:jc w:val="center"/>
              <w:rPr>
                <w:color w:val="000000"/>
                <w:sz w:val="20"/>
                <w:szCs w:val="20"/>
                <w:rtl/>
              </w:rPr>
            </w:pPr>
            <w:r w:rsidRPr="00EA0E56">
              <w:rPr>
                <w:color w:val="000000"/>
                <w:sz w:val="20"/>
                <w:szCs w:val="20"/>
                <w:rtl/>
              </w:rPr>
              <w:t>44.1</w:t>
            </w:r>
          </w:p>
        </w:tc>
      </w:tr>
      <w:tr w:rsidR="00A8538B" w:rsidRPr="00EA0E56" w14:paraId="47ABDD71" w14:textId="77777777" w:rsidTr="00CA64ED">
        <w:trPr>
          <w:trHeight w:val="170"/>
          <w:jc w:val="center"/>
        </w:trPr>
        <w:tc>
          <w:tcPr>
            <w:tcW w:w="21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DD1F0B" w14:textId="77777777" w:rsidR="00A8538B" w:rsidRPr="00EA0E56" w:rsidRDefault="00A8538B" w:rsidP="00CA64ED">
            <w:pPr>
              <w:pStyle w:val="a1"/>
              <w:jc w:val="center"/>
              <w:rPr>
                <w:color w:val="000000"/>
                <w:sz w:val="20"/>
                <w:szCs w:val="20"/>
              </w:rPr>
            </w:pPr>
            <w:r w:rsidRPr="00EA0E56">
              <w:rPr>
                <w:color w:val="000000"/>
                <w:sz w:val="20"/>
                <w:szCs w:val="20"/>
                <w:rtl/>
              </w:rPr>
              <w:t>البرازيل</w:t>
            </w:r>
          </w:p>
        </w:tc>
        <w:tc>
          <w:tcPr>
            <w:tcW w:w="43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FCA192" w14:textId="77777777" w:rsidR="00A8538B" w:rsidRPr="00EA0E56" w:rsidRDefault="00A8538B" w:rsidP="00CA64ED">
            <w:pPr>
              <w:pStyle w:val="a1"/>
              <w:jc w:val="center"/>
              <w:rPr>
                <w:color w:val="000000"/>
                <w:sz w:val="20"/>
                <w:szCs w:val="20"/>
              </w:rPr>
            </w:pPr>
            <w:r w:rsidRPr="00EA0E56">
              <w:rPr>
                <w:color w:val="000000"/>
                <w:sz w:val="20"/>
                <w:szCs w:val="20"/>
                <w:rtl/>
              </w:rPr>
              <w:t>ريو دجينيرو</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74CF16D5" w14:textId="77777777" w:rsidR="00A8538B" w:rsidRPr="00EA0E56" w:rsidRDefault="00A8538B" w:rsidP="00CA64ED">
            <w:pPr>
              <w:pStyle w:val="a1"/>
              <w:jc w:val="center"/>
              <w:rPr>
                <w:color w:val="000000"/>
                <w:sz w:val="20"/>
                <w:szCs w:val="20"/>
                <w:rtl/>
              </w:rPr>
            </w:pPr>
            <w:r w:rsidRPr="00EA0E56">
              <w:rPr>
                <w:color w:val="000000"/>
                <w:sz w:val="20"/>
                <w:szCs w:val="20"/>
                <w:rtl/>
              </w:rPr>
              <w:t>34.4</w:t>
            </w:r>
          </w:p>
        </w:tc>
      </w:tr>
      <w:tr w:rsidR="00A8538B" w:rsidRPr="00EA0E56" w14:paraId="154CFAD8" w14:textId="77777777" w:rsidTr="00CA64ED">
        <w:trPr>
          <w:trHeight w:val="170"/>
          <w:jc w:val="center"/>
        </w:trPr>
        <w:tc>
          <w:tcPr>
            <w:tcW w:w="212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5B1FD4" w14:textId="77777777" w:rsidR="00A8538B" w:rsidRPr="00EA0E56" w:rsidRDefault="00A8538B" w:rsidP="00CA64ED">
            <w:pPr>
              <w:pStyle w:val="a1"/>
              <w:jc w:val="center"/>
              <w:rPr>
                <w:color w:val="000000"/>
                <w:sz w:val="20"/>
                <w:szCs w:val="20"/>
              </w:rPr>
            </w:pPr>
          </w:p>
        </w:tc>
        <w:tc>
          <w:tcPr>
            <w:tcW w:w="43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E0D171" w14:textId="77777777" w:rsidR="00A8538B" w:rsidRPr="00EA0E56" w:rsidRDefault="00A8538B" w:rsidP="00CA64ED">
            <w:pPr>
              <w:pStyle w:val="a1"/>
              <w:jc w:val="center"/>
              <w:rPr>
                <w:color w:val="000000"/>
                <w:sz w:val="20"/>
                <w:szCs w:val="20"/>
              </w:rPr>
            </w:pPr>
            <w:r w:rsidRPr="00EA0E56">
              <w:rPr>
                <w:color w:val="000000"/>
                <w:sz w:val="20"/>
                <w:szCs w:val="20"/>
                <w:rtl/>
              </w:rPr>
              <w:t>سان بولو</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64CFDC8D" w14:textId="77777777" w:rsidR="00A8538B" w:rsidRPr="00EA0E56" w:rsidRDefault="00A8538B" w:rsidP="00CA64ED">
            <w:pPr>
              <w:pStyle w:val="a1"/>
              <w:jc w:val="center"/>
              <w:rPr>
                <w:color w:val="000000"/>
                <w:sz w:val="20"/>
                <w:szCs w:val="20"/>
                <w:rtl/>
              </w:rPr>
            </w:pPr>
            <w:r w:rsidRPr="00EA0E56">
              <w:rPr>
                <w:color w:val="000000"/>
                <w:sz w:val="20"/>
                <w:szCs w:val="20"/>
                <w:rtl/>
              </w:rPr>
              <w:t>38.0</w:t>
            </w:r>
          </w:p>
        </w:tc>
      </w:tr>
      <w:tr w:rsidR="00A8538B" w:rsidRPr="00EA0E56" w14:paraId="34F27C2D" w14:textId="77777777" w:rsidTr="00CA64ED">
        <w:trPr>
          <w:trHeight w:val="170"/>
          <w:jc w:val="center"/>
        </w:trPr>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14:paraId="45400058" w14:textId="77777777" w:rsidR="00A8538B" w:rsidRPr="00EA0E56" w:rsidRDefault="00A8538B" w:rsidP="00CA64ED">
            <w:pPr>
              <w:pStyle w:val="a1"/>
              <w:jc w:val="center"/>
              <w:rPr>
                <w:color w:val="000000"/>
                <w:sz w:val="20"/>
                <w:szCs w:val="20"/>
              </w:rPr>
            </w:pPr>
            <w:r w:rsidRPr="00EA0E56">
              <w:rPr>
                <w:color w:val="000000"/>
                <w:sz w:val="20"/>
                <w:szCs w:val="20"/>
                <w:rtl/>
              </w:rPr>
              <w:t>تنزانيا</w:t>
            </w:r>
          </w:p>
        </w:tc>
        <w:tc>
          <w:tcPr>
            <w:tcW w:w="43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59FB92" w14:textId="77777777" w:rsidR="00A8538B" w:rsidRPr="00EA0E56" w:rsidRDefault="00A8538B" w:rsidP="00CA64ED">
            <w:pPr>
              <w:pStyle w:val="a1"/>
              <w:jc w:val="center"/>
              <w:rPr>
                <w:color w:val="000000"/>
                <w:sz w:val="20"/>
                <w:szCs w:val="20"/>
              </w:rPr>
            </w:pPr>
            <w:r w:rsidRPr="00EA0E56">
              <w:rPr>
                <w:color w:val="000000"/>
                <w:sz w:val="20"/>
                <w:szCs w:val="20"/>
                <w:rtl/>
              </w:rPr>
              <w:t>دار السلام</w:t>
            </w:r>
          </w:p>
        </w:tc>
        <w:tc>
          <w:tcPr>
            <w:tcW w:w="1667" w:type="dxa"/>
            <w:tcBorders>
              <w:top w:val="single" w:sz="4" w:space="0" w:color="auto"/>
              <w:left w:val="single" w:sz="4" w:space="0" w:color="auto"/>
              <w:bottom w:val="single" w:sz="4" w:space="0" w:color="auto"/>
              <w:right w:val="single" w:sz="4" w:space="0" w:color="auto"/>
            </w:tcBorders>
            <w:shd w:val="clear" w:color="auto" w:fill="auto"/>
            <w:vAlign w:val="center"/>
          </w:tcPr>
          <w:p w14:paraId="6E14F471" w14:textId="77777777" w:rsidR="00A8538B" w:rsidRPr="00EA0E56" w:rsidRDefault="00A8538B" w:rsidP="00CA64ED">
            <w:pPr>
              <w:pStyle w:val="a1"/>
              <w:jc w:val="center"/>
              <w:rPr>
                <w:color w:val="000000"/>
                <w:sz w:val="20"/>
                <w:szCs w:val="20"/>
                <w:rtl/>
              </w:rPr>
            </w:pPr>
            <w:r w:rsidRPr="00EA0E56">
              <w:rPr>
                <w:color w:val="000000"/>
                <w:sz w:val="20"/>
                <w:szCs w:val="20"/>
                <w:rtl/>
              </w:rPr>
              <w:t>69.0</w:t>
            </w:r>
          </w:p>
        </w:tc>
      </w:tr>
    </w:tbl>
    <w:p w14:paraId="55929E31" w14:textId="77777777" w:rsidR="00A8538B" w:rsidRPr="00EA0E56" w:rsidRDefault="00A8538B" w:rsidP="00A8538B">
      <w:pPr>
        <w:pStyle w:val="a1"/>
        <w:rPr>
          <w:rFonts w:cs="Fanan"/>
          <w:color w:val="000000"/>
          <w:sz w:val="16"/>
          <w:szCs w:val="16"/>
          <w:rtl/>
        </w:rPr>
      </w:pPr>
    </w:p>
    <w:p w14:paraId="74CBA174" w14:textId="77777777" w:rsidR="00A8538B" w:rsidRPr="00EA0E56" w:rsidRDefault="00A8538B" w:rsidP="00A8538B">
      <w:pPr>
        <w:pStyle w:val="a5"/>
        <w:rPr>
          <w:rFonts w:eastAsia="Calibri"/>
          <w:color w:val="000000"/>
          <w:rtl/>
        </w:rPr>
      </w:pPr>
    </w:p>
    <w:p w14:paraId="42FDCF4F" w14:textId="77777777" w:rsidR="00A8538B" w:rsidRPr="00EA0E56" w:rsidRDefault="00A8538B" w:rsidP="00A8538B">
      <w:pPr>
        <w:pStyle w:val="a5"/>
        <w:rPr>
          <w:rFonts w:eastAsia="Calibri"/>
          <w:color w:val="000000"/>
          <w:rtl/>
        </w:rPr>
      </w:pPr>
      <w:r w:rsidRPr="00EA0E56">
        <w:rPr>
          <w:rFonts w:eastAsia="Calibri" w:hint="cs"/>
          <w:color w:val="000000"/>
          <w:rtl/>
        </w:rPr>
        <w:t>حساب المخاطر البيئية</w:t>
      </w:r>
    </w:p>
    <w:p w14:paraId="1E06E065" w14:textId="77777777" w:rsidR="00A8538B" w:rsidRPr="00EA0E56" w:rsidRDefault="00A8538B" w:rsidP="00A8538B">
      <w:pPr>
        <w:pStyle w:val="a1"/>
        <w:rPr>
          <w:color w:val="000000"/>
          <w:rtl/>
        </w:rPr>
      </w:pPr>
      <w:r w:rsidRPr="00EA0E56">
        <w:rPr>
          <w:color w:val="000000"/>
          <w:rtl/>
        </w:rPr>
        <w:t xml:space="preserve">تم حساب جرعة استنشاق وخطر الاصابة بسرطان الرئة نتيجة التعرض لإستنشاق الأتربة الصدرية التى تم رصدها فى مكة المكرمة خلال الفترة من 1 رمضان 1434هـ وحتى 27 صفر 1435هـ بإستخدام المعادلة رقم (1) [17]. </w:t>
      </w:r>
    </w:p>
    <w:p w14:paraId="08DB3C3D" w14:textId="77777777" w:rsidR="00A8538B" w:rsidRPr="00EA0E56" w:rsidRDefault="00A8538B" w:rsidP="00A8538B">
      <w:pPr>
        <w:pStyle w:val="a1"/>
        <w:rPr>
          <w:color w:val="000000"/>
          <w:rtl/>
        </w:rPr>
      </w:pPr>
    </w:p>
    <w:p w14:paraId="5DA2B6D1" w14:textId="77777777" w:rsidR="00A8538B" w:rsidRPr="00EA0E56" w:rsidRDefault="00A8538B" w:rsidP="00A8538B">
      <w:pPr>
        <w:pStyle w:val="a1"/>
        <w:jc w:val="center"/>
        <w:rPr>
          <w:color w:val="000000"/>
        </w:rPr>
      </w:pPr>
      <w:r w:rsidRPr="00EA0E56">
        <w:rPr>
          <w:color w:val="000000"/>
        </w:rPr>
        <w:t xml:space="preserve">I = (C * DPR *A* EF * ED* 1e-6) / AT     </w:t>
      </w:r>
      <w:r w:rsidRPr="00EA0E56">
        <w:rPr>
          <w:color w:val="000000"/>
          <w:rtl/>
        </w:rPr>
        <w:t>معادلة (1)</w:t>
      </w:r>
    </w:p>
    <w:p w14:paraId="464C54C7" w14:textId="77777777" w:rsidR="00A8538B" w:rsidRPr="00EA0E56" w:rsidRDefault="00A8538B" w:rsidP="00A8538B">
      <w:pPr>
        <w:pStyle w:val="a1"/>
        <w:rPr>
          <w:color w:val="000000"/>
          <w:rtl/>
        </w:rPr>
      </w:pPr>
    </w:p>
    <w:p w14:paraId="795D42DC" w14:textId="77777777" w:rsidR="00A8538B" w:rsidRPr="00EA0E56" w:rsidRDefault="00A8538B" w:rsidP="00A8538B">
      <w:pPr>
        <w:pStyle w:val="a1"/>
        <w:rPr>
          <w:color w:val="000000"/>
          <w:rtl/>
        </w:rPr>
      </w:pPr>
      <w:r w:rsidRPr="00EA0E56">
        <w:rPr>
          <w:color w:val="000000"/>
          <w:rtl/>
        </w:rPr>
        <w:t>حيث:</w:t>
      </w:r>
    </w:p>
    <w:tbl>
      <w:tblPr>
        <w:tblW w:w="7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779"/>
        <w:gridCol w:w="710"/>
      </w:tblGrid>
      <w:tr w:rsidR="00A8538B" w:rsidRPr="00EA0E56" w14:paraId="72189AB4" w14:textId="77777777" w:rsidTr="00CA64ED">
        <w:trPr>
          <w:jc w:val="center"/>
        </w:trPr>
        <w:tc>
          <w:tcPr>
            <w:tcW w:w="1843" w:type="dxa"/>
            <w:vAlign w:val="center"/>
          </w:tcPr>
          <w:p w14:paraId="09DAF9B2" w14:textId="77777777" w:rsidR="00A8538B" w:rsidRPr="00EA0E56" w:rsidRDefault="00A8538B" w:rsidP="00CA64ED">
            <w:pPr>
              <w:pStyle w:val="a1"/>
              <w:jc w:val="center"/>
              <w:rPr>
                <w:color w:val="000000"/>
                <w:rtl/>
              </w:rPr>
            </w:pPr>
            <w:r w:rsidRPr="00EA0E56">
              <w:rPr>
                <w:color w:val="000000"/>
                <w:rtl/>
              </w:rPr>
              <w:t>(من المعادلة – 1)</w:t>
            </w:r>
          </w:p>
        </w:tc>
        <w:tc>
          <w:tcPr>
            <w:tcW w:w="4779" w:type="dxa"/>
            <w:vAlign w:val="center"/>
          </w:tcPr>
          <w:p w14:paraId="30A9DA3C" w14:textId="77777777" w:rsidR="00A8538B" w:rsidRPr="00EA0E56" w:rsidRDefault="00A8538B" w:rsidP="00CA64ED">
            <w:pPr>
              <w:pStyle w:val="a1"/>
              <w:jc w:val="center"/>
              <w:rPr>
                <w:color w:val="000000"/>
                <w:rtl/>
              </w:rPr>
            </w:pPr>
            <w:r w:rsidRPr="00EA0E56">
              <w:rPr>
                <w:color w:val="000000"/>
                <w:rtl/>
              </w:rPr>
              <w:t>:جرعة الإستنشاق (مجم/ كجم/يوم)</w:t>
            </w:r>
          </w:p>
        </w:tc>
        <w:tc>
          <w:tcPr>
            <w:tcW w:w="710" w:type="dxa"/>
            <w:vAlign w:val="center"/>
          </w:tcPr>
          <w:p w14:paraId="7F260EF4" w14:textId="77777777" w:rsidR="00A8538B" w:rsidRPr="00EA0E56" w:rsidRDefault="00A8538B" w:rsidP="00CA64ED">
            <w:pPr>
              <w:pStyle w:val="a1"/>
              <w:jc w:val="center"/>
              <w:rPr>
                <w:color w:val="000000"/>
              </w:rPr>
            </w:pPr>
            <w:r w:rsidRPr="00EA0E56">
              <w:rPr>
                <w:color w:val="000000"/>
              </w:rPr>
              <w:t>I</w:t>
            </w:r>
          </w:p>
        </w:tc>
      </w:tr>
      <w:tr w:rsidR="00A8538B" w:rsidRPr="00EA0E56" w14:paraId="785FDD5B" w14:textId="77777777" w:rsidTr="00CA64ED">
        <w:trPr>
          <w:jc w:val="center"/>
        </w:trPr>
        <w:tc>
          <w:tcPr>
            <w:tcW w:w="1843" w:type="dxa"/>
            <w:vAlign w:val="center"/>
          </w:tcPr>
          <w:p w14:paraId="34F3D32B" w14:textId="77777777" w:rsidR="00A8538B" w:rsidRPr="00EA0E56" w:rsidRDefault="00A8538B" w:rsidP="00CA64ED">
            <w:pPr>
              <w:pStyle w:val="a1"/>
              <w:jc w:val="center"/>
              <w:rPr>
                <w:color w:val="000000"/>
              </w:rPr>
            </w:pPr>
            <w:r w:rsidRPr="00EA0E56">
              <w:rPr>
                <w:color w:val="000000"/>
                <w:rtl/>
              </w:rPr>
              <w:t>(من نتائج القياس)</w:t>
            </w:r>
          </w:p>
        </w:tc>
        <w:tc>
          <w:tcPr>
            <w:tcW w:w="4779" w:type="dxa"/>
            <w:vAlign w:val="center"/>
          </w:tcPr>
          <w:p w14:paraId="08F8E221" w14:textId="77777777" w:rsidR="00A8538B" w:rsidRPr="00EA0E56" w:rsidRDefault="00A8538B" w:rsidP="00CA64ED">
            <w:pPr>
              <w:pStyle w:val="a1"/>
              <w:jc w:val="center"/>
              <w:rPr>
                <w:color w:val="000000"/>
                <w:rtl/>
              </w:rPr>
            </w:pPr>
            <w:r w:rsidRPr="00EA0E56">
              <w:rPr>
                <w:color w:val="000000"/>
                <w:rtl/>
              </w:rPr>
              <w:t>:تركيز الأتربة الصدرية المستنشقة (</w:t>
            </w:r>
            <w:r w:rsidRPr="00EA0E56">
              <w:rPr>
                <w:color w:val="000000"/>
              </w:rPr>
              <w:t>PM10</w:t>
            </w:r>
            <w:r w:rsidRPr="00EA0E56">
              <w:rPr>
                <w:color w:val="000000"/>
                <w:rtl/>
              </w:rPr>
              <w:t>) (ميكروجم/م3)</w:t>
            </w:r>
          </w:p>
        </w:tc>
        <w:tc>
          <w:tcPr>
            <w:tcW w:w="710" w:type="dxa"/>
            <w:vAlign w:val="center"/>
          </w:tcPr>
          <w:p w14:paraId="4F07C6BB" w14:textId="77777777" w:rsidR="00A8538B" w:rsidRPr="00EA0E56" w:rsidRDefault="00A8538B" w:rsidP="00CA64ED">
            <w:pPr>
              <w:pStyle w:val="a1"/>
              <w:jc w:val="center"/>
              <w:rPr>
                <w:color w:val="000000"/>
              </w:rPr>
            </w:pPr>
            <w:r w:rsidRPr="00EA0E56">
              <w:rPr>
                <w:color w:val="000000"/>
              </w:rPr>
              <w:t>C</w:t>
            </w:r>
          </w:p>
        </w:tc>
      </w:tr>
      <w:tr w:rsidR="00A8538B" w:rsidRPr="00EA0E56" w14:paraId="5D51C7E1" w14:textId="77777777" w:rsidTr="00CA64ED">
        <w:trPr>
          <w:jc w:val="center"/>
        </w:trPr>
        <w:tc>
          <w:tcPr>
            <w:tcW w:w="1843" w:type="dxa"/>
            <w:vAlign w:val="center"/>
          </w:tcPr>
          <w:p w14:paraId="10BBDBB4" w14:textId="77777777" w:rsidR="00A8538B" w:rsidRPr="00EA0E56" w:rsidRDefault="00A8538B" w:rsidP="00CA64ED">
            <w:pPr>
              <w:pStyle w:val="a1"/>
              <w:jc w:val="center"/>
              <w:rPr>
                <w:color w:val="000000"/>
              </w:rPr>
            </w:pPr>
            <w:r w:rsidRPr="00EA0E56">
              <w:rPr>
                <w:color w:val="000000"/>
                <w:rtl/>
              </w:rPr>
              <w:t>(393 لتر/كجم/يوم)</w:t>
            </w:r>
          </w:p>
        </w:tc>
        <w:tc>
          <w:tcPr>
            <w:tcW w:w="4779" w:type="dxa"/>
            <w:vAlign w:val="center"/>
          </w:tcPr>
          <w:p w14:paraId="11E854BF" w14:textId="77777777" w:rsidR="00A8538B" w:rsidRPr="00EA0E56" w:rsidRDefault="00A8538B" w:rsidP="00CA64ED">
            <w:pPr>
              <w:pStyle w:val="a1"/>
              <w:jc w:val="center"/>
              <w:rPr>
                <w:color w:val="000000"/>
                <w:rtl/>
              </w:rPr>
            </w:pPr>
            <w:r w:rsidRPr="00EA0E56">
              <w:rPr>
                <w:color w:val="000000"/>
                <w:rtl/>
              </w:rPr>
              <w:t>:معدل التنفس اليومي</w:t>
            </w:r>
            <w:r w:rsidRPr="00EA0E56">
              <w:rPr>
                <w:color w:val="000000"/>
              </w:rPr>
              <w:t>)</w:t>
            </w:r>
            <w:r w:rsidRPr="00EA0E56">
              <w:rPr>
                <w:rFonts w:ascii="Times New Roman" w:hAnsi="Times New Roman" w:cs="Times New Roman"/>
                <w:color w:val="000000"/>
              </w:rPr>
              <w:t> </w:t>
            </w:r>
            <w:r w:rsidRPr="00EA0E56">
              <w:rPr>
                <w:color w:val="000000"/>
                <w:rtl/>
              </w:rPr>
              <w:t>لتر/كجم/يوم)</w:t>
            </w:r>
          </w:p>
        </w:tc>
        <w:tc>
          <w:tcPr>
            <w:tcW w:w="710" w:type="dxa"/>
            <w:vAlign w:val="center"/>
          </w:tcPr>
          <w:p w14:paraId="1907DA63" w14:textId="77777777" w:rsidR="00A8538B" w:rsidRPr="00EA0E56" w:rsidRDefault="00A8538B" w:rsidP="00CA64ED">
            <w:pPr>
              <w:pStyle w:val="a1"/>
              <w:jc w:val="center"/>
              <w:rPr>
                <w:color w:val="000000"/>
              </w:rPr>
            </w:pPr>
            <w:r w:rsidRPr="00EA0E56">
              <w:rPr>
                <w:color w:val="000000"/>
              </w:rPr>
              <w:t>BDR</w:t>
            </w:r>
          </w:p>
        </w:tc>
      </w:tr>
      <w:tr w:rsidR="00A8538B" w:rsidRPr="00EA0E56" w14:paraId="3D647435" w14:textId="77777777" w:rsidTr="00CA64ED">
        <w:trPr>
          <w:jc w:val="center"/>
        </w:trPr>
        <w:tc>
          <w:tcPr>
            <w:tcW w:w="1843" w:type="dxa"/>
            <w:vAlign w:val="center"/>
          </w:tcPr>
          <w:p w14:paraId="256DDA42" w14:textId="77777777" w:rsidR="00A8538B" w:rsidRPr="00EA0E56" w:rsidRDefault="00A8538B" w:rsidP="00CA64ED">
            <w:pPr>
              <w:pStyle w:val="a1"/>
              <w:jc w:val="center"/>
              <w:rPr>
                <w:color w:val="000000"/>
              </w:rPr>
            </w:pPr>
            <w:r w:rsidRPr="00EA0E56">
              <w:rPr>
                <w:color w:val="000000"/>
                <w:rtl/>
              </w:rPr>
              <w:t>(يساوى 1)</w:t>
            </w:r>
          </w:p>
        </w:tc>
        <w:tc>
          <w:tcPr>
            <w:tcW w:w="4779" w:type="dxa"/>
            <w:vAlign w:val="center"/>
          </w:tcPr>
          <w:p w14:paraId="025ACF73" w14:textId="77777777" w:rsidR="00A8538B" w:rsidRPr="00EA0E56" w:rsidRDefault="00A8538B" w:rsidP="00CA64ED">
            <w:pPr>
              <w:pStyle w:val="a1"/>
              <w:jc w:val="center"/>
              <w:rPr>
                <w:color w:val="000000"/>
              </w:rPr>
            </w:pPr>
            <w:r w:rsidRPr="00EA0E56">
              <w:rPr>
                <w:color w:val="000000"/>
                <w:rtl/>
              </w:rPr>
              <w:t>:عامل امتصاص الإستنشاق</w:t>
            </w:r>
          </w:p>
        </w:tc>
        <w:tc>
          <w:tcPr>
            <w:tcW w:w="710" w:type="dxa"/>
            <w:vAlign w:val="center"/>
          </w:tcPr>
          <w:p w14:paraId="70D52E77" w14:textId="77777777" w:rsidR="00A8538B" w:rsidRPr="00EA0E56" w:rsidRDefault="00A8538B" w:rsidP="00CA64ED">
            <w:pPr>
              <w:pStyle w:val="a1"/>
              <w:jc w:val="center"/>
              <w:rPr>
                <w:color w:val="000000"/>
              </w:rPr>
            </w:pPr>
            <w:r w:rsidRPr="00EA0E56">
              <w:rPr>
                <w:color w:val="000000"/>
              </w:rPr>
              <w:t>A</w:t>
            </w:r>
          </w:p>
        </w:tc>
      </w:tr>
      <w:tr w:rsidR="00A8538B" w:rsidRPr="00EA0E56" w14:paraId="2EA32F42" w14:textId="77777777" w:rsidTr="00CA64ED">
        <w:trPr>
          <w:jc w:val="center"/>
        </w:trPr>
        <w:tc>
          <w:tcPr>
            <w:tcW w:w="1843" w:type="dxa"/>
            <w:vAlign w:val="center"/>
          </w:tcPr>
          <w:p w14:paraId="51CAF217" w14:textId="77777777" w:rsidR="00A8538B" w:rsidRPr="00EA0E56" w:rsidRDefault="00A8538B" w:rsidP="00CA64ED">
            <w:pPr>
              <w:pStyle w:val="a1"/>
              <w:jc w:val="center"/>
              <w:rPr>
                <w:color w:val="000000"/>
              </w:rPr>
            </w:pPr>
            <w:r w:rsidRPr="00EA0E56">
              <w:rPr>
                <w:color w:val="000000"/>
                <w:rtl/>
              </w:rPr>
              <w:t>(365 يوم/سنة)</w:t>
            </w:r>
          </w:p>
        </w:tc>
        <w:tc>
          <w:tcPr>
            <w:tcW w:w="4779" w:type="dxa"/>
            <w:vAlign w:val="center"/>
          </w:tcPr>
          <w:p w14:paraId="71B63837" w14:textId="77777777" w:rsidR="00A8538B" w:rsidRPr="00EA0E56" w:rsidRDefault="00A8538B" w:rsidP="00CA64ED">
            <w:pPr>
              <w:pStyle w:val="a1"/>
              <w:jc w:val="center"/>
              <w:rPr>
                <w:color w:val="000000"/>
              </w:rPr>
            </w:pPr>
            <w:r w:rsidRPr="00EA0E56">
              <w:rPr>
                <w:color w:val="000000"/>
                <w:rtl/>
              </w:rPr>
              <w:t>:معدل التعرض (يوم/سنة)</w:t>
            </w:r>
          </w:p>
        </w:tc>
        <w:tc>
          <w:tcPr>
            <w:tcW w:w="710" w:type="dxa"/>
            <w:vAlign w:val="center"/>
          </w:tcPr>
          <w:p w14:paraId="76978A57" w14:textId="77777777" w:rsidR="00A8538B" w:rsidRPr="00EA0E56" w:rsidRDefault="00A8538B" w:rsidP="00CA64ED">
            <w:pPr>
              <w:pStyle w:val="a1"/>
              <w:jc w:val="center"/>
              <w:rPr>
                <w:color w:val="000000"/>
              </w:rPr>
            </w:pPr>
            <w:r w:rsidRPr="00EA0E56">
              <w:rPr>
                <w:color w:val="000000"/>
              </w:rPr>
              <w:t>EF</w:t>
            </w:r>
          </w:p>
        </w:tc>
      </w:tr>
      <w:tr w:rsidR="00A8538B" w:rsidRPr="00EA0E56" w14:paraId="57BE5EF2" w14:textId="77777777" w:rsidTr="00CA64ED">
        <w:trPr>
          <w:jc w:val="center"/>
        </w:trPr>
        <w:tc>
          <w:tcPr>
            <w:tcW w:w="1843" w:type="dxa"/>
            <w:vAlign w:val="center"/>
          </w:tcPr>
          <w:p w14:paraId="4558AFFF" w14:textId="77777777" w:rsidR="00A8538B" w:rsidRPr="00EA0E56" w:rsidRDefault="00A8538B" w:rsidP="00CA64ED">
            <w:pPr>
              <w:pStyle w:val="a1"/>
              <w:jc w:val="center"/>
              <w:rPr>
                <w:color w:val="000000"/>
              </w:rPr>
            </w:pPr>
            <w:r w:rsidRPr="00EA0E56">
              <w:rPr>
                <w:color w:val="000000"/>
                <w:rtl/>
              </w:rPr>
              <w:t>(70 سنة)</w:t>
            </w:r>
          </w:p>
        </w:tc>
        <w:tc>
          <w:tcPr>
            <w:tcW w:w="4779" w:type="dxa"/>
            <w:vAlign w:val="center"/>
          </w:tcPr>
          <w:p w14:paraId="7664AC3D" w14:textId="77777777" w:rsidR="00A8538B" w:rsidRPr="00EA0E56" w:rsidRDefault="00A8538B" w:rsidP="00CA64ED">
            <w:pPr>
              <w:pStyle w:val="a1"/>
              <w:jc w:val="center"/>
              <w:rPr>
                <w:color w:val="000000"/>
              </w:rPr>
            </w:pPr>
            <w:r w:rsidRPr="00EA0E56">
              <w:rPr>
                <w:color w:val="000000"/>
                <w:rtl/>
              </w:rPr>
              <w:t>:مدة التعرض (سنوات)</w:t>
            </w:r>
          </w:p>
        </w:tc>
        <w:tc>
          <w:tcPr>
            <w:tcW w:w="710" w:type="dxa"/>
            <w:vAlign w:val="center"/>
          </w:tcPr>
          <w:p w14:paraId="0F30A1DD" w14:textId="77777777" w:rsidR="00A8538B" w:rsidRPr="00EA0E56" w:rsidRDefault="00A8538B" w:rsidP="00CA64ED">
            <w:pPr>
              <w:pStyle w:val="a1"/>
              <w:jc w:val="center"/>
              <w:rPr>
                <w:color w:val="000000"/>
              </w:rPr>
            </w:pPr>
            <w:r w:rsidRPr="00EA0E56">
              <w:rPr>
                <w:color w:val="000000"/>
              </w:rPr>
              <w:t>ED</w:t>
            </w:r>
          </w:p>
        </w:tc>
      </w:tr>
      <w:tr w:rsidR="00A8538B" w:rsidRPr="00EA0E56" w14:paraId="6DF8C899" w14:textId="77777777" w:rsidTr="00CA64ED">
        <w:trPr>
          <w:jc w:val="center"/>
        </w:trPr>
        <w:tc>
          <w:tcPr>
            <w:tcW w:w="1843" w:type="dxa"/>
            <w:vAlign w:val="center"/>
          </w:tcPr>
          <w:p w14:paraId="3D4D4494" w14:textId="77777777" w:rsidR="00A8538B" w:rsidRPr="00EA0E56" w:rsidRDefault="00A8538B" w:rsidP="00CA64ED">
            <w:pPr>
              <w:pStyle w:val="a1"/>
              <w:jc w:val="center"/>
              <w:rPr>
                <w:color w:val="000000"/>
                <w:rtl/>
              </w:rPr>
            </w:pPr>
            <w:r w:rsidRPr="00EA0E56">
              <w:rPr>
                <w:color w:val="000000"/>
                <w:rtl/>
              </w:rPr>
              <w:t>(0.000001)</w:t>
            </w:r>
          </w:p>
        </w:tc>
        <w:tc>
          <w:tcPr>
            <w:tcW w:w="4779" w:type="dxa"/>
            <w:vAlign w:val="center"/>
          </w:tcPr>
          <w:p w14:paraId="584CB35D" w14:textId="77777777" w:rsidR="00A8538B" w:rsidRPr="00EA0E56" w:rsidRDefault="00A8538B" w:rsidP="00CA64ED">
            <w:pPr>
              <w:pStyle w:val="a1"/>
              <w:jc w:val="center"/>
              <w:rPr>
                <w:color w:val="000000"/>
                <w:rtl/>
              </w:rPr>
            </w:pPr>
            <w:r w:rsidRPr="00EA0E56">
              <w:rPr>
                <w:color w:val="000000"/>
                <w:rtl/>
              </w:rPr>
              <w:t>:معامل الإستنشاق</w:t>
            </w:r>
          </w:p>
        </w:tc>
        <w:tc>
          <w:tcPr>
            <w:tcW w:w="710" w:type="dxa"/>
            <w:vAlign w:val="center"/>
          </w:tcPr>
          <w:p w14:paraId="1189C936" w14:textId="77777777" w:rsidR="00A8538B" w:rsidRPr="00EA0E56" w:rsidRDefault="00A8538B" w:rsidP="00CA64ED">
            <w:pPr>
              <w:pStyle w:val="a1"/>
              <w:jc w:val="center"/>
              <w:rPr>
                <w:color w:val="000000"/>
              </w:rPr>
            </w:pPr>
            <w:r w:rsidRPr="00EA0E56">
              <w:rPr>
                <w:color w:val="000000"/>
              </w:rPr>
              <w:t>1e-6</w:t>
            </w:r>
          </w:p>
        </w:tc>
      </w:tr>
      <w:tr w:rsidR="00A8538B" w:rsidRPr="00EA0E56" w14:paraId="18EB6D0C" w14:textId="77777777" w:rsidTr="00CA64ED">
        <w:trPr>
          <w:jc w:val="center"/>
        </w:trPr>
        <w:tc>
          <w:tcPr>
            <w:tcW w:w="1843" w:type="dxa"/>
            <w:vAlign w:val="center"/>
          </w:tcPr>
          <w:p w14:paraId="7C348752" w14:textId="77777777" w:rsidR="00A8538B" w:rsidRPr="00EA0E56" w:rsidRDefault="00A8538B" w:rsidP="00CA64ED">
            <w:pPr>
              <w:pStyle w:val="a1"/>
              <w:jc w:val="center"/>
              <w:rPr>
                <w:color w:val="000000"/>
              </w:rPr>
            </w:pPr>
            <w:r w:rsidRPr="00EA0E56">
              <w:rPr>
                <w:color w:val="000000"/>
                <w:rtl/>
              </w:rPr>
              <w:t>(25550 يوم)</w:t>
            </w:r>
          </w:p>
        </w:tc>
        <w:tc>
          <w:tcPr>
            <w:tcW w:w="4779" w:type="dxa"/>
            <w:vAlign w:val="center"/>
          </w:tcPr>
          <w:p w14:paraId="06384ACE" w14:textId="77777777" w:rsidR="00A8538B" w:rsidRPr="00EA0E56" w:rsidRDefault="00A8538B" w:rsidP="00CA64ED">
            <w:pPr>
              <w:pStyle w:val="a1"/>
              <w:jc w:val="center"/>
              <w:rPr>
                <w:color w:val="000000"/>
              </w:rPr>
            </w:pPr>
            <w:r w:rsidRPr="00EA0E56">
              <w:rPr>
                <w:color w:val="000000"/>
                <w:rtl/>
              </w:rPr>
              <w:t xml:space="preserve">:متوسط </w:t>
            </w:r>
            <w:r w:rsidRPr="00EA0E56">
              <w:rPr>
                <w:rFonts w:ascii="Cambria Math" w:hAnsi="Cambria Math" w:cs="Cambria Math" w:hint="cs"/>
                <w:color w:val="000000"/>
                <w:rtl/>
              </w:rPr>
              <w:t>​​</w:t>
            </w:r>
            <w:r w:rsidRPr="00EA0E56">
              <w:rPr>
                <w:color w:val="000000"/>
                <w:rtl/>
              </w:rPr>
              <w:t xml:space="preserve">مدى الفترة الزمنية التي تم خلالها </w:t>
            </w:r>
            <w:r w:rsidRPr="00EA0E56">
              <w:rPr>
                <w:rFonts w:ascii="Cambria Math" w:hAnsi="Cambria Math" w:cs="Cambria Math" w:hint="cs"/>
                <w:color w:val="000000"/>
                <w:rtl/>
              </w:rPr>
              <w:t>​​</w:t>
            </w:r>
            <w:r w:rsidRPr="00EA0E56">
              <w:rPr>
                <w:color w:val="000000"/>
                <w:rtl/>
              </w:rPr>
              <w:t>التعرض (يوم)</w:t>
            </w:r>
          </w:p>
        </w:tc>
        <w:tc>
          <w:tcPr>
            <w:tcW w:w="710" w:type="dxa"/>
            <w:vAlign w:val="center"/>
          </w:tcPr>
          <w:p w14:paraId="389A779C" w14:textId="77777777" w:rsidR="00A8538B" w:rsidRPr="00EA0E56" w:rsidRDefault="00A8538B" w:rsidP="00CA64ED">
            <w:pPr>
              <w:pStyle w:val="a1"/>
              <w:jc w:val="center"/>
              <w:rPr>
                <w:color w:val="000000"/>
              </w:rPr>
            </w:pPr>
            <w:r w:rsidRPr="00EA0E56">
              <w:rPr>
                <w:color w:val="000000"/>
              </w:rPr>
              <w:t>AT</w:t>
            </w:r>
          </w:p>
        </w:tc>
      </w:tr>
    </w:tbl>
    <w:p w14:paraId="1AC322E1" w14:textId="77777777" w:rsidR="00A8538B" w:rsidRPr="00EA0E56" w:rsidRDefault="00A8538B" w:rsidP="00A8538B">
      <w:pPr>
        <w:pStyle w:val="a1"/>
        <w:rPr>
          <w:rFonts w:ascii="Traditional Arabic" w:hAnsi="Traditional Arabic" w:cs="Traditional Arabic"/>
          <w:color w:val="000000"/>
          <w:sz w:val="28"/>
          <w:szCs w:val="28"/>
          <w:rtl/>
        </w:rPr>
      </w:pPr>
    </w:p>
    <w:p w14:paraId="4B1DCA16" w14:textId="77777777" w:rsidR="00A8538B" w:rsidRPr="00EA0E56" w:rsidRDefault="00A8538B" w:rsidP="00A8538B">
      <w:pPr>
        <w:pStyle w:val="a1"/>
        <w:rPr>
          <w:color w:val="000000"/>
          <w:rtl/>
        </w:rPr>
      </w:pPr>
      <w:r w:rsidRPr="00EA0E56">
        <w:rPr>
          <w:color w:val="000000"/>
          <w:rtl/>
        </w:rPr>
        <w:t xml:space="preserve">وقد بينت الأشكال (5، أ - ج) إرتفاع جرعة إستنشاق الأتربة الصدرية فى مواقع حى الشبيكة بالمنطقة المركزية، حى المسفلة، وحى العزيزية خلال العشر الأواخر من شهر رمضان وخلال فترة موسم الحج بداية من يوم 8 ذى الحجة وحتى 15 ذى الحجة. حيث تراوحت جرعات الإستنشاق بين (0.073 – 0.135) بمتوسط 0.097 مجم/ كجم/يوم، (0.057 -0.107) بمتوسط 0.071 مجم/ كجم/يوم، (0.036 -0.100) بمتوسط 0.063 مجم/ كجم/يوم فى حى الشبيكة والمسفلة والعزيزية، على التوالى.  ويعزى ذلك إلى كثافة المعتمرين والحجاج والباصات التى تنقلهم من الفنادق إلى الحرم المكى الشريف والمشاعر المقدسة والعودة بهم مرة أخرى. كما وضحت الأشكال أن مسار التراكيز فى الأحياء الثلاثة يتحرك من إنخفاض فى بداية رمضان ثم إرتفاع ملحوظ فى أواخر رمضان يليه إنخفاض فى شهرى شوال وذى القعدة ثم إرتفاع فى موسم الحج يليه إنخفاض حتى بداية موسم العمرة بعد شهر محرم. وقد بين الشكل (5، د) إنخفاض جرعة إستنشاق </w:t>
      </w:r>
      <w:r w:rsidRPr="00EA0E56">
        <w:rPr>
          <w:color w:val="000000"/>
          <w:rtl/>
        </w:rPr>
        <w:lastRenderedPageBreak/>
        <w:t>الأتربة الصدرية فى مواقع حى العوالى طول فترة القياس بإستثناء يومى 8 و 9 ذى الحجة حيث أظهرت الحسابات إرتفاع ملحوظ يعزى إلى كثافة حركة الحجاج والباصات المتجهة إلى عرفات لأداء مناسك الحج. وتراوحت جرعات الإستنشاق بين (0.017 – 0.047) بمتوسط 0.22 مجم/ كجم/يوم.</w:t>
      </w:r>
    </w:p>
    <w:p w14:paraId="50DE783F" w14:textId="77777777" w:rsidR="00A8538B" w:rsidRPr="00EA0E56" w:rsidRDefault="00A8538B" w:rsidP="00A8538B">
      <w:pPr>
        <w:pStyle w:val="a1"/>
        <w:rPr>
          <w:rFonts w:cs="Fanan"/>
          <w:color w:val="000000"/>
        </w:rPr>
      </w:pPr>
    </w:p>
    <w:p w14:paraId="01B7E2F4" w14:textId="4DA6502D" w:rsidR="00A8538B" w:rsidRPr="00EA0E56" w:rsidRDefault="00A8538B" w:rsidP="00A8538B">
      <w:pPr>
        <w:pStyle w:val="a1"/>
        <w:rPr>
          <w:rFonts w:ascii="Arial" w:hAnsi="Arial" w:cs="Fanan"/>
          <w:color w:val="000000"/>
          <w:rtl/>
        </w:rPr>
      </w:pPr>
      <w:r w:rsidRPr="00EA0E56">
        <w:rPr>
          <w:color w:val="000000"/>
        </w:rPr>
        <w:drawing>
          <wp:inline distT="0" distB="0" distL="0" distR="0" wp14:anchorId="17F24ECB" wp14:editId="42BFA83F">
            <wp:extent cx="5043805" cy="3404235"/>
            <wp:effectExtent l="0" t="0" r="4445" b="5715"/>
            <wp:docPr id="73" name="Chart 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68A6ADC" w14:textId="77777777" w:rsidR="00A8538B" w:rsidRPr="00EA0E56" w:rsidRDefault="00A8538B" w:rsidP="00A8538B">
      <w:pPr>
        <w:pStyle w:val="a1"/>
        <w:jc w:val="center"/>
        <w:rPr>
          <w:color w:val="000000"/>
          <w:sz w:val="20"/>
          <w:szCs w:val="20"/>
          <w:rtl/>
        </w:rPr>
      </w:pPr>
      <w:r w:rsidRPr="00EA0E56">
        <w:rPr>
          <w:color w:val="000000"/>
          <w:sz w:val="20"/>
          <w:szCs w:val="20"/>
          <w:rtl/>
        </w:rPr>
        <w:t>شكل</w:t>
      </w:r>
      <w:r w:rsidRPr="00EA0E56">
        <w:rPr>
          <w:rFonts w:hint="cs"/>
          <w:color w:val="000000"/>
          <w:sz w:val="20"/>
          <w:szCs w:val="20"/>
          <w:rtl/>
        </w:rPr>
        <w:t xml:space="preserve"> - 5</w:t>
      </w:r>
      <w:r w:rsidRPr="00EA0E56">
        <w:rPr>
          <w:color w:val="000000"/>
          <w:sz w:val="20"/>
          <w:szCs w:val="20"/>
          <w:rtl/>
        </w:rPr>
        <w:t>:</w:t>
      </w:r>
      <w:r w:rsidRPr="00EA0E56">
        <w:rPr>
          <w:color w:val="000000"/>
          <w:sz w:val="20"/>
          <w:szCs w:val="20"/>
        </w:rPr>
        <w:t xml:space="preserve"> </w:t>
      </w:r>
      <w:r w:rsidRPr="00EA0E56">
        <w:rPr>
          <w:color w:val="000000"/>
          <w:sz w:val="20"/>
          <w:szCs w:val="20"/>
          <w:rtl/>
        </w:rPr>
        <w:t>جرعة إستنشاق الأتربة الصدرية (مجم/ كجم/يوم) خلال الفترة من 1 رمضان 1434هـ  - 27 صفر 1435هـ.</w:t>
      </w:r>
    </w:p>
    <w:p w14:paraId="07322097" w14:textId="77777777" w:rsidR="00A8538B" w:rsidRPr="00EA0E56" w:rsidRDefault="00A8538B" w:rsidP="00A8538B">
      <w:pPr>
        <w:pStyle w:val="a1"/>
        <w:rPr>
          <w:rFonts w:cs="Fanan"/>
          <w:color w:val="000000"/>
          <w:sz w:val="16"/>
          <w:szCs w:val="16"/>
          <w:rtl/>
        </w:rPr>
      </w:pPr>
      <w:r w:rsidRPr="00EA0E56">
        <w:rPr>
          <w:rFonts w:ascii="Times New Roman" w:hAnsi="Times New Roman" w:cs="Times New Roman"/>
          <w:color w:val="000000"/>
        </w:rPr>
        <w:t> </w:t>
      </w:r>
    </w:p>
    <w:p w14:paraId="291900D6" w14:textId="77777777" w:rsidR="00A8538B" w:rsidRPr="00EA0E56" w:rsidRDefault="00A8538B" w:rsidP="00A8538B">
      <w:pPr>
        <w:pStyle w:val="a1"/>
        <w:rPr>
          <w:color w:val="000000"/>
          <w:rtl/>
        </w:rPr>
      </w:pPr>
      <w:r w:rsidRPr="00EA0E56">
        <w:rPr>
          <w:color w:val="000000"/>
          <w:rtl/>
        </w:rPr>
        <w:t xml:space="preserve">كذلك تم حساب نسبة خطر الاصابة بسرطان الرئة نتيجة التعرض لإستنشاق الأتربة الصدرية التى تم رصدها فى مكة المكرمة خلال الفترة من 1 رمضان 1434هـ وحتى 27 صفر 1435هـ بإستخدام المعادلة رقم (2) [17]. </w:t>
      </w:r>
    </w:p>
    <w:p w14:paraId="3F41E0F8" w14:textId="77777777" w:rsidR="00A8538B" w:rsidRPr="00EA0E56" w:rsidRDefault="00A8538B" w:rsidP="00A8538B">
      <w:pPr>
        <w:pStyle w:val="a1"/>
        <w:rPr>
          <w:color w:val="000000"/>
          <w:rtl/>
        </w:rPr>
      </w:pPr>
    </w:p>
    <w:p w14:paraId="5D606B20" w14:textId="77777777" w:rsidR="00A8538B" w:rsidRPr="00EA0E56" w:rsidRDefault="00A8538B" w:rsidP="00A8538B">
      <w:pPr>
        <w:pStyle w:val="a1"/>
        <w:rPr>
          <w:color w:val="000000"/>
        </w:rPr>
      </w:pPr>
      <w:r w:rsidRPr="00EA0E56">
        <w:rPr>
          <w:color w:val="000000"/>
        </w:rPr>
        <w:t xml:space="preserve">ICR = (I * CPF)          </w:t>
      </w:r>
      <w:r w:rsidRPr="00EA0E56">
        <w:rPr>
          <w:color w:val="000000"/>
          <w:rtl/>
        </w:rPr>
        <w:t>معادلة (2)</w:t>
      </w:r>
    </w:p>
    <w:p w14:paraId="56FA8D14" w14:textId="77777777" w:rsidR="00A8538B" w:rsidRPr="00EA0E56" w:rsidRDefault="00A8538B" w:rsidP="00A8538B">
      <w:pPr>
        <w:pStyle w:val="a1"/>
        <w:rPr>
          <w:color w:val="000000"/>
          <w:rtl/>
        </w:rPr>
      </w:pPr>
      <w:r w:rsidRPr="00EA0E56">
        <w:rPr>
          <w:color w:val="000000"/>
          <w:rtl/>
        </w:rPr>
        <w:t>حيث:</w:t>
      </w:r>
    </w:p>
    <w:tbl>
      <w:tblPr>
        <w:tblW w:w="6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292"/>
        <w:gridCol w:w="1276"/>
      </w:tblGrid>
      <w:tr w:rsidR="00A8538B" w:rsidRPr="00EA0E56" w14:paraId="5AC71449" w14:textId="77777777" w:rsidTr="00CA64ED">
        <w:trPr>
          <w:jc w:val="center"/>
        </w:trPr>
        <w:tc>
          <w:tcPr>
            <w:tcW w:w="1843" w:type="dxa"/>
            <w:vAlign w:val="center"/>
          </w:tcPr>
          <w:p w14:paraId="65032C07" w14:textId="77777777" w:rsidR="00A8538B" w:rsidRPr="00EA0E56" w:rsidRDefault="00A8538B" w:rsidP="00CA64ED">
            <w:pPr>
              <w:pStyle w:val="a1"/>
              <w:jc w:val="center"/>
              <w:rPr>
                <w:color w:val="000000"/>
                <w:rtl/>
              </w:rPr>
            </w:pPr>
            <w:r w:rsidRPr="00EA0E56">
              <w:rPr>
                <w:color w:val="000000"/>
                <w:rtl/>
              </w:rPr>
              <w:t>(من المعادلة – 1)</w:t>
            </w:r>
          </w:p>
        </w:tc>
        <w:tc>
          <w:tcPr>
            <w:tcW w:w="3292" w:type="dxa"/>
            <w:vAlign w:val="center"/>
          </w:tcPr>
          <w:p w14:paraId="45BCFABC" w14:textId="77777777" w:rsidR="00A8538B" w:rsidRPr="00EA0E56" w:rsidRDefault="00A8538B" w:rsidP="00CA64ED">
            <w:pPr>
              <w:pStyle w:val="a1"/>
              <w:jc w:val="center"/>
              <w:rPr>
                <w:color w:val="000000"/>
              </w:rPr>
            </w:pPr>
            <w:r w:rsidRPr="00EA0E56">
              <w:rPr>
                <w:color w:val="000000"/>
                <w:rtl/>
              </w:rPr>
              <w:t>: جرعة الإستنشاق (مجم/ كجم/يوم)</w:t>
            </w:r>
          </w:p>
        </w:tc>
        <w:tc>
          <w:tcPr>
            <w:tcW w:w="1276" w:type="dxa"/>
            <w:vAlign w:val="center"/>
          </w:tcPr>
          <w:p w14:paraId="7DEBD13D" w14:textId="77777777" w:rsidR="00A8538B" w:rsidRPr="00EA0E56" w:rsidRDefault="00A8538B" w:rsidP="00CA64ED">
            <w:pPr>
              <w:pStyle w:val="a1"/>
              <w:jc w:val="center"/>
              <w:rPr>
                <w:color w:val="000000"/>
              </w:rPr>
            </w:pPr>
            <w:r w:rsidRPr="00EA0E56">
              <w:rPr>
                <w:color w:val="000000"/>
              </w:rPr>
              <w:t>I</w:t>
            </w:r>
          </w:p>
        </w:tc>
      </w:tr>
      <w:tr w:rsidR="00A8538B" w:rsidRPr="00EA0E56" w14:paraId="700F566B" w14:textId="77777777" w:rsidTr="00CA64ED">
        <w:trPr>
          <w:jc w:val="center"/>
        </w:trPr>
        <w:tc>
          <w:tcPr>
            <w:tcW w:w="1843" w:type="dxa"/>
            <w:vAlign w:val="center"/>
          </w:tcPr>
          <w:p w14:paraId="22620991" w14:textId="77777777" w:rsidR="00A8538B" w:rsidRPr="00EA0E56" w:rsidRDefault="00A8538B" w:rsidP="00CA64ED">
            <w:pPr>
              <w:pStyle w:val="a1"/>
              <w:jc w:val="center"/>
              <w:rPr>
                <w:color w:val="000000"/>
              </w:rPr>
            </w:pPr>
            <w:r w:rsidRPr="00EA0E56">
              <w:rPr>
                <w:color w:val="000000"/>
                <w:rtl/>
              </w:rPr>
              <w:t>(1.098)</w:t>
            </w:r>
          </w:p>
        </w:tc>
        <w:tc>
          <w:tcPr>
            <w:tcW w:w="3292" w:type="dxa"/>
            <w:vAlign w:val="center"/>
          </w:tcPr>
          <w:p w14:paraId="2615B95F" w14:textId="77777777" w:rsidR="00A8538B" w:rsidRPr="00EA0E56" w:rsidRDefault="00A8538B" w:rsidP="00CA64ED">
            <w:pPr>
              <w:pStyle w:val="a1"/>
              <w:jc w:val="center"/>
              <w:rPr>
                <w:color w:val="000000"/>
                <w:rtl/>
              </w:rPr>
            </w:pPr>
            <w:r w:rsidRPr="00EA0E56">
              <w:rPr>
                <w:color w:val="000000"/>
                <w:rtl/>
              </w:rPr>
              <w:t>: معامل قوة السرطان</w:t>
            </w:r>
          </w:p>
        </w:tc>
        <w:tc>
          <w:tcPr>
            <w:tcW w:w="1276" w:type="dxa"/>
            <w:vAlign w:val="center"/>
          </w:tcPr>
          <w:p w14:paraId="2A75461B" w14:textId="77777777" w:rsidR="00A8538B" w:rsidRPr="00EA0E56" w:rsidRDefault="00A8538B" w:rsidP="00CA64ED">
            <w:pPr>
              <w:pStyle w:val="a1"/>
              <w:jc w:val="center"/>
              <w:rPr>
                <w:color w:val="000000"/>
              </w:rPr>
            </w:pPr>
            <w:r w:rsidRPr="00EA0E56">
              <w:rPr>
                <w:color w:val="000000"/>
              </w:rPr>
              <w:t>CPF</w:t>
            </w:r>
          </w:p>
        </w:tc>
      </w:tr>
    </w:tbl>
    <w:p w14:paraId="17733432" w14:textId="77777777" w:rsidR="00A8538B" w:rsidRPr="00EA0E56" w:rsidRDefault="00A8538B" w:rsidP="00A8538B">
      <w:pPr>
        <w:pStyle w:val="a1"/>
        <w:rPr>
          <w:color w:val="000000"/>
          <w:rtl/>
        </w:rPr>
      </w:pPr>
    </w:p>
    <w:p w14:paraId="39A6163D" w14:textId="77777777" w:rsidR="00A8538B" w:rsidRPr="00EA0E56" w:rsidRDefault="00A8538B" w:rsidP="00A8538B">
      <w:pPr>
        <w:pStyle w:val="a1"/>
        <w:rPr>
          <w:color w:val="000000"/>
        </w:rPr>
      </w:pPr>
      <w:r w:rsidRPr="00EA0E56">
        <w:rPr>
          <w:color w:val="000000"/>
          <w:rtl/>
        </w:rPr>
        <w:t>وقد بينت الأشكال (6، أ - ج) إرتفاع خطر الاصابة بسرطان الرئة نتيجة التعرض لإستنشاق الأتربة الصدرية فى مواقع حى الشبيكة بالمنطقة المركزية، حى المسفلة، وحى العزيزية خلال العشر الأواخر من شهر رمضان وخلال فترة موسم الحج بداية من يوم 8 ذى الحجة وحتى 15 ذى الحجة حيث تراوحت النسب بين (0.08 – 0.15) بمتوسط 0.11%، (0.06-0.12) بمتوسط 0.08%، (0.04-0.11) بمتوسط 0.07%. ويعزى ذلك إلى كثافة المعتمرين والحجاج والباصات التى تنقلهم من الفنادق إلى الحرم المكى الشريف والمشاعر المقدسة والعودة بهم مرة أخرى. كما وضحت الأشكال أن مسار التراكيز فى الأحياء الثلاثة يتحرك من إنخفاض فى بداية رمضان ثم إرتفاع ملحوظ فى أواخر رمضان يليه إنخفاض فى شهرى شوال وذى القعدة ثم إرتفاع فى موسم الحج يليه إنخفاض حتى بداية موسم العمرة بعد شهر محرم. وقد بين الشكل (6، د). إنخفاض خطر الاصابة بسرطان الرئة نتيجة التعرض لإستنشاق الأتربة الصدرية فى حى العوالى طول فترة القياس بإستثناء يومى 8 و 9 ذى الحجة حيث أظهرت الحسابات إرتفاع ملحوظ يعزى إلى كثافة حركة الحجاج والباصات المتجهة إلى عرفات لأداء مناسك الحج. وتراوحت النسب بين (0.02-0.05) بمتوسط 0.02% .</w:t>
      </w:r>
    </w:p>
    <w:p w14:paraId="33B00537" w14:textId="2651EA3E" w:rsidR="00A8538B" w:rsidRPr="00EA0E56" w:rsidRDefault="00A8538B" w:rsidP="00A8538B">
      <w:pPr>
        <w:pStyle w:val="a1"/>
        <w:rPr>
          <w:rFonts w:cs="Fanan"/>
          <w:color w:val="000000"/>
          <w:rtl/>
        </w:rPr>
      </w:pPr>
      <w:r w:rsidRPr="00EA0E56">
        <w:rPr>
          <w:color w:val="000000"/>
        </w:rPr>
        <w:lastRenderedPageBreak/>
        <w:drawing>
          <wp:inline distT="0" distB="0" distL="0" distR="0" wp14:anchorId="45C5773F" wp14:editId="48B0163C">
            <wp:extent cx="5043805" cy="3348990"/>
            <wp:effectExtent l="0" t="0" r="4445" b="3810"/>
            <wp:docPr id="72" name="Chart 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2C4EDC5" w14:textId="77777777" w:rsidR="00A8538B" w:rsidRPr="00EA0E56" w:rsidRDefault="00A8538B" w:rsidP="00A8538B">
      <w:pPr>
        <w:pStyle w:val="a1"/>
        <w:jc w:val="center"/>
        <w:rPr>
          <w:color w:val="000000"/>
          <w:sz w:val="20"/>
          <w:szCs w:val="20"/>
          <w:rtl/>
        </w:rPr>
      </w:pPr>
      <w:r w:rsidRPr="00EA0E56">
        <w:rPr>
          <w:color w:val="000000"/>
          <w:sz w:val="20"/>
          <w:szCs w:val="20"/>
          <w:rtl/>
        </w:rPr>
        <w:t>شكل</w:t>
      </w:r>
      <w:r w:rsidRPr="00EA0E56">
        <w:rPr>
          <w:rFonts w:hint="cs"/>
          <w:color w:val="000000"/>
          <w:sz w:val="20"/>
          <w:szCs w:val="20"/>
          <w:rtl/>
        </w:rPr>
        <w:t xml:space="preserve"> - 6</w:t>
      </w:r>
      <w:r w:rsidRPr="00EA0E56">
        <w:rPr>
          <w:color w:val="000000"/>
          <w:sz w:val="20"/>
          <w:szCs w:val="20"/>
          <w:rtl/>
        </w:rPr>
        <w:t xml:space="preserve">: </w:t>
      </w:r>
      <w:r w:rsidRPr="00EA0E56">
        <w:rPr>
          <w:rFonts w:hint="cs"/>
          <w:color w:val="000000"/>
          <w:sz w:val="20"/>
          <w:szCs w:val="20"/>
          <w:rtl/>
        </w:rPr>
        <w:t xml:space="preserve">نسبة </w:t>
      </w:r>
      <w:r w:rsidRPr="00EA0E56">
        <w:rPr>
          <w:color w:val="000000"/>
          <w:sz w:val="20"/>
          <w:szCs w:val="20"/>
          <w:rtl/>
        </w:rPr>
        <w:t xml:space="preserve">خطر الاصابة بسرطان </w:t>
      </w:r>
      <w:r w:rsidRPr="00EA0E56">
        <w:rPr>
          <w:rFonts w:hint="cs"/>
          <w:color w:val="000000"/>
          <w:sz w:val="20"/>
          <w:szCs w:val="20"/>
          <w:rtl/>
        </w:rPr>
        <w:t>الرئة نتيجة التعرض لإ</w:t>
      </w:r>
      <w:r w:rsidRPr="00EA0E56">
        <w:rPr>
          <w:color w:val="000000"/>
          <w:sz w:val="20"/>
          <w:szCs w:val="20"/>
          <w:rtl/>
        </w:rPr>
        <w:t>ستنشاق</w:t>
      </w:r>
      <w:r w:rsidRPr="00EA0E56">
        <w:rPr>
          <w:rFonts w:hint="cs"/>
          <w:color w:val="000000"/>
          <w:sz w:val="20"/>
          <w:szCs w:val="20"/>
          <w:rtl/>
        </w:rPr>
        <w:t xml:space="preserve"> الأتربة الصدرية </w:t>
      </w:r>
      <w:r w:rsidRPr="00EA0E56">
        <w:rPr>
          <w:color w:val="000000"/>
          <w:sz w:val="20"/>
          <w:szCs w:val="20"/>
          <w:rtl/>
        </w:rPr>
        <w:t>التى تم رصدها</w:t>
      </w:r>
      <w:r w:rsidRPr="00EA0E56">
        <w:rPr>
          <w:rFonts w:hint="cs"/>
          <w:color w:val="000000"/>
          <w:sz w:val="20"/>
          <w:szCs w:val="20"/>
          <w:rtl/>
        </w:rPr>
        <w:t xml:space="preserve"> فى مكة المكرمة خلال الفترة </w:t>
      </w:r>
      <w:r w:rsidRPr="00EA0E56">
        <w:rPr>
          <w:color w:val="000000"/>
          <w:sz w:val="20"/>
          <w:szCs w:val="20"/>
          <w:rtl/>
        </w:rPr>
        <w:t>من 1 رمضان 1434هـ وحتى 27 صفر 1435هـ.</w:t>
      </w:r>
    </w:p>
    <w:p w14:paraId="57E2496D" w14:textId="77777777" w:rsidR="00A8538B" w:rsidRPr="00EA0E56" w:rsidRDefault="00A8538B" w:rsidP="00A8538B">
      <w:pPr>
        <w:pStyle w:val="a1"/>
        <w:rPr>
          <w:color w:val="000000"/>
          <w:rtl/>
        </w:rPr>
      </w:pPr>
    </w:p>
    <w:p w14:paraId="1F27B08C" w14:textId="77777777" w:rsidR="00A8538B" w:rsidRPr="00EA0E56" w:rsidRDefault="00A8538B" w:rsidP="00A8538B">
      <w:pPr>
        <w:pStyle w:val="a1"/>
        <w:rPr>
          <w:color w:val="000000"/>
          <w:rtl/>
        </w:rPr>
      </w:pPr>
      <w:r w:rsidRPr="00EA0E56">
        <w:rPr>
          <w:rFonts w:hint="cs"/>
          <w:color w:val="000000"/>
          <w:rtl/>
        </w:rPr>
        <w:t xml:space="preserve">التنبؤ  بعدد حالات </w:t>
      </w:r>
      <w:r w:rsidRPr="00EA0E56">
        <w:rPr>
          <w:color w:val="000000"/>
          <w:rtl/>
        </w:rPr>
        <w:t>دخول المستشفيات بسبب أمراض الجهاز التنفسي</w:t>
      </w:r>
    </w:p>
    <w:p w14:paraId="50AC9C16" w14:textId="77777777" w:rsidR="00A8538B" w:rsidRPr="00EA0E56" w:rsidRDefault="00A8538B" w:rsidP="00A8538B">
      <w:pPr>
        <w:pStyle w:val="a1"/>
        <w:rPr>
          <w:color w:val="000000"/>
          <w:rtl/>
        </w:rPr>
      </w:pPr>
      <w:r w:rsidRPr="00EA0E56">
        <w:rPr>
          <w:color w:val="000000"/>
          <w:rtl/>
        </w:rPr>
        <w:t>تم إستخدام نموذج محاكاة (</w:t>
      </w:r>
      <w:r w:rsidRPr="00EA0E56">
        <w:rPr>
          <w:color w:val="000000"/>
        </w:rPr>
        <w:t>AirQ2.2.3 model</w:t>
      </w:r>
      <w:r w:rsidRPr="00EA0E56">
        <w:rPr>
          <w:color w:val="000000"/>
          <w:rtl/>
        </w:rPr>
        <w:t xml:space="preserve">) لحساب درجة الخطورة والتنبؤ بعدد حالات أمراض الجهاز التنفسي  الناتجة من تركيزات الأتربة المستنشقة التى تم رصدها فى مكة المكرمة خلال الفترة من 1 رمضان 1434هـ وحتى 27 صفر 1435هـ. حيث يعتمد البرنامج على مدخلات منها: </w:t>
      </w:r>
    </w:p>
    <w:p w14:paraId="08ECDECC" w14:textId="77777777" w:rsidR="00A8538B" w:rsidRPr="00EA0E56" w:rsidRDefault="00A8538B" w:rsidP="00A8538B">
      <w:pPr>
        <w:pStyle w:val="a1"/>
        <w:rPr>
          <w:color w:val="000000"/>
        </w:rPr>
      </w:pPr>
      <w:r w:rsidRPr="00EA0E56">
        <w:rPr>
          <w:color w:val="000000"/>
          <w:rtl/>
        </w:rPr>
        <w:t>بيانات الموقع (احداثيات المدينة (خط عرض 21.43شمال ،خط طول 39.82 شرق )، عدد السكان (2700000 حاج + 1800000 مقيم)، سنة القياس (2013م)، بيانات مدخل البيانات) [18].</w:t>
      </w:r>
    </w:p>
    <w:p w14:paraId="022BF3AE" w14:textId="77777777" w:rsidR="00A8538B" w:rsidRPr="00EA0E56" w:rsidRDefault="00A8538B" w:rsidP="00A8538B">
      <w:pPr>
        <w:pStyle w:val="a1"/>
        <w:rPr>
          <w:color w:val="000000"/>
        </w:rPr>
      </w:pPr>
      <w:r w:rsidRPr="00EA0E56">
        <w:rPr>
          <w:color w:val="000000"/>
          <w:rtl/>
        </w:rPr>
        <w:t xml:space="preserve">بيانات الملوث (نوع الملوث (الأتربة الصدرية </w:t>
      </w:r>
      <w:r w:rsidRPr="00EA0E56">
        <w:rPr>
          <w:color w:val="000000"/>
        </w:rPr>
        <w:t>PM10</w:t>
      </w:r>
      <w:r w:rsidRPr="00EA0E56">
        <w:rPr>
          <w:color w:val="000000"/>
          <w:rtl/>
        </w:rPr>
        <w:t>)، تراكيز الأتربة الصدرية (مقسم كل 10 ميكروجم/م3).</w:t>
      </w:r>
    </w:p>
    <w:p w14:paraId="6B301D32" w14:textId="77777777" w:rsidR="00A8538B" w:rsidRPr="00EA0E56" w:rsidRDefault="00A8538B" w:rsidP="00A8538B">
      <w:pPr>
        <w:pStyle w:val="a1"/>
        <w:rPr>
          <w:color w:val="000000"/>
        </w:rPr>
      </w:pPr>
      <w:r w:rsidRPr="00EA0E56">
        <w:rPr>
          <w:color w:val="000000"/>
          <w:rtl/>
        </w:rPr>
        <w:t>حساب نسبة المخاطر (</w:t>
      </w:r>
      <w:r w:rsidRPr="00EA0E56">
        <w:rPr>
          <w:color w:val="000000"/>
        </w:rPr>
        <w:t>RR</w:t>
      </w:r>
      <w:r w:rsidRPr="00EA0E56">
        <w:rPr>
          <w:color w:val="000000"/>
          <w:rtl/>
        </w:rPr>
        <w:t xml:space="preserve">) من المعادلة رقم - 3) [14]، وفي هذه المعادلة استخدمت قيم معامل الخطورة لحساب الخطر النسبى المنخفض، المتوسط، والعالى. </w:t>
      </w:r>
    </w:p>
    <w:p w14:paraId="2FDCEFD8" w14:textId="77777777" w:rsidR="00A8538B" w:rsidRPr="00EA0E56" w:rsidRDefault="00A8538B" w:rsidP="00A8538B">
      <w:pPr>
        <w:pStyle w:val="a1"/>
        <w:rPr>
          <w:color w:val="000000"/>
        </w:rPr>
      </w:pPr>
      <w:r w:rsidRPr="00EA0E56">
        <w:rPr>
          <w:color w:val="000000"/>
        </w:rPr>
        <w:t xml:space="preserve">RR = exp [B(X-Xo)]         </w:t>
      </w:r>
      <w:r w:rsidRPr="00EA0E56">
        <w:rPr>
          <w:color w:val="000000"/>
          <w:rtl/>
        </w:rPr>
        <w:t>معادلة (3)</w:t>
      </w:r>
      <w:r w:rsidRPr="00EA0E56">
        <w:rPr>
          <w:color w:val="000000"/>
        </w:rPr>
        <w:t xml:space="preserve">    </w:t>
      </w:r>
    </w:p>
    <w:p w14:paraId="49E9F26E" w14:textId="77777777" w:rsidR="00A8538B" w:rsidRPr="00EA0E56" w:rsidRDefault="00A8538B" w:rsidP="00A8538B">
      <w:pPr>
        <w:pStyle w:val="a1"/>
        <w:rPr>
          <w:color w:val="000000"/>
          <w:rtl/>
        </w:rPr>
      </w:pPr>
      <w:r w:rsidRPr="00EA0E56">
        <w:rPr>
          <w:color w:val="000000"/>
          <w:rtl/>
        </w:rPr>
        <w:t xml:space="preserve">  حيث أن:</w:t>
      </w:r>
    </w:p>
    <w:tbl>
      <w:tblPr>
        <w:bidiVisual/>
        <w:tblW w:w="7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
        <w:gridCol w:w="6473"/>
      </w:tblGrid>
      <w:tr w:rsidR="00A8538B" w:rsidRPr="00EA0E56" w14:paraId="5FBA28D3" w14:textId="77777777" w:rsidTr="00CA64ED">
        <w:trPr>
          <w:jc w:val="center"/>
        </w:trPr>
        <w:tc>
          <w:tcPr>
            <w:tcW w:w="1072" w:type="dxa"/>
            <w:vAlign w:val="center"/>
          </w:tcPr>
          <w:p w14:paraId="2F06524F" w14:textId="77777777" w:rsidR="00A8538B" w:rsidRPr="00EA0E56" w:rsidRDefault="00A8538B" w:rsidP="00CA64ED">
            <w:pPr>
              <w:pStyle w:val="a1"/>
              <w:jc w:val="center"/>
              <w:rPr>
                <w:color w:val="000000"/>
                <w:rtl/>
              </w:rPr>
            </w:pPr>
            <w:r w:rsidRPr="00EA0E56">
              <w:rPr>
                <w:color w:val="000000"/>
              </w:rPr>
              <w:t>B</w:t>
            </w:r>
          </w:p>
        </w:tc>
        <w:tc>
          <w:tcPr>
            <w:tcW w:w="6473" w:type="dxa"/>
            <w:vAlign w:val="center"/>
          </w:tcPr>
          <w:p w14:paraId="20906D34" w14:textId="77777777" w:rsidR="00A8538B" w:rsidRPr="00EA0E56" w:rsidRDefault="00A8538B" w:rsidP="00CA64ED">
            <w:pPr>
              <w:pStyle w:val="a1"/>
              <w:jc w:val="center"/>
              <w:rPr>
                <w:color w:val="000000"/>
                <w:rtl/>
              </w:rPr>
            </w:pPr>
            <w:r w:rsidRPr="00EA0E56">
              <w:rPr>
                <w:color w:val="000000"/>
                <w:rtl/>
              </w:rPr>
              <w:t>:معامل الخطورة يأخذ قيمة صغرى (0.0006)، متوسطة (0.0008)، عظمى (0.0010)</w:t>
            </w:r>
          </w:p>
        </w:tc>
      </w:tr>
      <w:tr w:rsidR="00A8538B" w:rsidRPr="00EA0E56" w14:paraId="42001FAE" w14:textId="77777777" w:rsidTr="00CA64ED">
        <w:trPr>
          <w:jc w:val="center"/>
        </w:trPr>
        <w:tc>
          <w:tcPr>
            <w:tcW w:w="1072" w:type="dxa"/>
            <w:vAlign w:val="center"/>
          </w:tcPr>
          <w:p w14:paraId="03BD04B1" w14:textId="77777777" w:rsidR="00A8538B" w:rsidRPr="00EA0E56" w:rsidRDefault="00A8538B" w:rsidP="00CA64ED">
            <w:pPr>
              <w:pStyle w:val="a1"/>
              <w:jc w:val="center"/>
              <w:rPr>
                <w:color w:val="000000"/>
                <w:rtl/>
              </w:rPr>
            </w:pPr>
            <w:r w:rsidRPr="00EA0E56">
              <w:rPr>
                <w:color w:val="000000"/>
              </w:rPr>
              <w:t>X</w:t>
            </w:r>
          </w:p>
        </w:tc>
        <w:tc>
          <w:tcPr>
            <w:tcW w:w="6473" w:type="dxa"/>
            <w:vAlign w:val="center"/>
          </w:tcPr>
          <w:p w14:paraId="0569AC35" w14:textId="77777777" w:rsidR="00A8538B" w:rsidRPr="00EA0E56" w:rsidRDefault="00A8538B" w:rsidP="00CA64ED">
            <w:pPr>
              <w:pStyle w:val="a1"/>
              <w:jc w:val="center"/>
              <w:rPr>
                <w:color w:val="000000"/>
                <w:rtl/>
              </w:rPr>
            </w:pPr>
            <w:r w:rsidRPr="00EA0E56">
              <w:rPr>
                <w:color w:val="000000"/>
                <w:rtl/>
              </w:rPr>
              <w:t>:متوسط التركيز السنوى لتركيز الأتربة الصدرية المقاسة (ميكروجم/م3)</w:t>
            </w:r>
          </w:p>
        </w:tc>
      </w:tr>
      <w:tr w:rsidR="00A8538B" w:rsidRPr="00EA0E56" w14:paraId="49B4946A" w14:textId="77777777" w:rsidTr="00CA64ED">
        <w:trPr>
          <w:jc w:val="center"/>
        </w:trPr>
        <w:tc>
          <w:tcPr>
            <w:tcW w:w="1072" w:type="dxa"/>
            <w:vAlign w:val="center"/>
          </w:tcPr>
          <w:p w14:paraId="19CC396B" w14:textId="77777777" w:rsidR="00A8538B" w:rsidRPr="00EA0E56" w:rsidRDefault="00A8538B" w:rsidP="00CA64ED">
            <w:pPr>
              <w:pStyle w:val="a1"/>
              <w:jc w:val="center"/>
              <w:rPr>
                <w:color w:val="000000"/>
                <w:rtl/>
              </w:rPr>
            </w:pPr>
            <w:r w:rsidRPr="00EA0E56">
              <w:rPr>
                <w:color w:val="000000"/>
              </w:rPr>
              <w:t>Xo</w:t>
            </w:r>
          </w:p>
        </w:tc>
        <w:tc>
          <w:tcPr>
            <w:tcW w:w="6473" w:type="dxa"/>
            <w:vAlign w:val="center"/>
          </w:tcPr>
          <w:p w14:paraId="4AC3843A" w14:textId="77777777" w:rsidR="00A8538B" w:rsidRPr="00EA0E56" w:rsidRDefault="00A8538B" w:rsidP="00CA64ED">
            <w:pPr>
              <w:pStyle w:val="a1"/>
              <w:jc w:val="center"/>
              <w:rPr>
                <w:color w:val="000000"/>
                <w:rtl/>
              </w:rPr>
            </w:pPr>
            <w:r w:rsidRPr="00EA0E56">
              <w:rPr>
                <w:color w:val="000000"/>
                <w:rtl/>
              </w:rPr>
              <w:t>:الحدود الموجودة فى القانون لبلد الموقع المقاس (340 ميكروجم/م3)</w:t>
            </w:r>
          </w:p>
        </w:tc>
      </w:tr>
    </w:tbl>
    <w:p w14:paraId="2FAE7D33" w14:textId="77777777" w:rsidR="00A8538B" w:rsidRPr="00EA0E56" w:rsidRDefault="00A8538B" w:rsidP="00A8538B">
      <w:pPr>
        <w:pStyle w:val="a1"/>
        <w:rPr>
          <w:color w:val="000000"/>
          <w:rtl/>
        </w:rPr>
      </w:pPr>
      <w:r w:rsidRPr="00EA0E56">
        <w:rPr>
          <w:color w:val="000000"/>
          <w:rtl/>
        </w:rPr>
        <w:t xml:space="preserve">البيانات الصحية (معدل الإصابة بأمراض الجهاز التنفسي المسجل بوزارة الصحة 3872 حالة فى كل 100000 شخص) [19]. </w:t>
      </w:r>
    </w:p>
    <w:p w14:paraId="5405ED6F" w14:textId="77777777" w:rsidR="00A8538B" w:rsidRPr="00EA0E56" w:rsidRDefault="00A8538B" w:rsidP="00A8538B">
      <w:pPr>
        <w:pStyle w:val="a1"/>
        <w:rPr>
          <w:color w:val="000000"/>
          <w:rtl/>
        </w:rPr>
      </w:pPr>
      <w:r w:rsidRPr="00EA0E56">
        <w:rPr>
          <w:color w:val="000000"/>
          <w:rtl/>
        </w:rPr>
        <w:t xml:space="preserve">وتشمل مخرجات البرنامج: حساب أثر تراكيز الأتربة الصدرية وحساب الخطر النسبي. وكذلك التنبؤ بعدد حالات دخول المستشفيات بسبب أمراض الجهاز التنفسي نتيجة التعرض لتركيزات </w:t>
      </w:r>
      <w:r w:rsidRPr="00EA0E56">
        <w:rPr>
          <w:color w:val="000000"/>
        </w:rPr>
        <w:t>PM10</w:t>
      </w:r>
      <w:r w:rsidRPr="00EA0E56">
        <w:rPr>
          <w:color w:val="000000"/>
          <w:rtl/>
        </w:rPr>
        <w:t xml:space="preserve"> في كل 100000 شخص.</w:t>
      </w:r>
    </w:p>
    <w:p w14:paraId="0272A859" w14:textId="77777777" w:rsidR="00A8538B" w:rsidRPr="00EA0E56" w:rsidRDefault="00A8538B" w:rsidP="00A8538B">
      <w:pPr>
        <w:pStyle w:val="a1"/>
        <w:rPr>
          <w:color w:val="000000"/>
          <w:rtl/>
        </w:rPr>
      </w:pPr>
      <w:r w:rsidRPr="00EA0E56">
        <w:rPr>
          <w:color w:val="000000"/>
          <w:rtl/>
        </w:rPr>
        <w:t xml:space="preserve">وقد أوضحت نتائج نموذج </w:t>
      </w:r>
      <w:r w:rsidRPr="00EA0E56">
        <w:rPr>
          <w:color w:val="000000"/>
        </w:rPr>
        <w:t>AirQ2.2.3</w:t>
      </w:r>
      <w:r w:rsidRPr="00EA0E56">
        <w:rPr>
          <w:color w:val="000000"/>
          <w:rtl/>
        </w:rPr>
        <w:t xml:space="preserve"> مدى تعرض سكان مكة المكرمة للأتربة الصدرية المستنشقة (</w:t>
      </w:r>
      <w:r w:rsidRPr="00EA0E56">
        <w:rPr>
          <w:color w:val="000000"/>
        </w:rPr>
        <w:t>PM10</w:t>
      </w:r>
      <w:r w:rsidRPr="00EA0E56">
        <w:rPr>
          <w:color w:val="000000"/>
          <w:rtl/>
        </w:rPr>
        <w:t xml:space="preserve">) ومدى الآثار الصحة الناجمة عن ذلك، وتنبأت بعدد حالات دخول المستشفيات بسبب أمراض الجهاز التنفسي نتيجة التعرض لتركيزات </w:t>
      </w:r>
      <w:r w:rsidRPr="00EA0E56">
        <w:rPr>
          <w:color w:val="000000"/>
        </w:rPr>
        <w:t>PM10</w:t>
      </w:r>
      <w:r w:rsidRPr="00EA0E56">
        <w:rPr>
          <w:color w:val="000000"/>
          <w:rtl/>
        </w:rPr>
        <w:t xml:space="preserve"> المقاسة بهذه الدراسة، ليكون عدد حالات دخول المستشفيات بسبب أمراض الجهاز التنفسي فى كل </w:t>
      </w:r>
      <w:r w:rsidRPr="00EA0E56">
        <w:rPr>
          <w:color w:val="000000"/>
          <w:rtl/>
        </w:rPr>
        <w:lastRenderedPageBreak/>
        <w:t>100000 شخص بين (361- 3050 حالة)، (177- 2298 حالة)، (72-1982 حالة)، (18-70 حالة) في حى الشبيكة، المسفلة، العزيزية، العوالى، على التوالى (كما هو موضح بالشكل 7). مما يوضح أن عدد حالات دخول المستشفيات بسبب أمراض الجهاز التنفسي فى كل 100000 شخص بأحياء الشبيكة والمسفلة أعلى منها فى العزيزية وتقل لدرجة كبيرة فى حى العوالى.</w:t>
      </w:r>
    </w:p>
    <w:tbl>
      <w:tblPr>
        <w:bidiVisual/>
        <w:tblW w:w="0" w:type="auto"/>
        <w:jc w:val="center"/>
        <w:tblLook w:val="04A0" w:firstRow="1" w:lastRow="0" w:firstColumn="1" w:lastColumn="0" w:noHBand="0" w:noVBand="1"/>
      </w:tblPr>
      <w:tblGrid>
        <w:gridCol w:w="4054"/>
        <w:gridCol w:w="3997"/>
      </w:tblGrid>
      <w:tr w:rsidR="00A8538B" w:rsidRPr="00EA0E56" w14:paraId="1CE14053" w14:textId="77777777" w:rsidTr="00CA64ED">
        <w:trPr>
          <w:jc w:val="center"/>
        </w:trPr>
        <w:tc>
          <w:tcPr>
            <w:tcW w:w="4535" w:type="dxa"/>
            <w:vAlign w:val="center"/>
          </w:tcPr>
          <w:p w14:paraId="03B11CD4" w14:textId="770D943B" w:rsidR="00A8538B" w:rsidRPr="00EA0E56" w:rsidRDefault="00A8538B" w:rsidP="00CA64ED">
            <w:pPr>
              <w:pStyle w:val="a1"/>
              <w:jc w:val="center"/>
              <w:rPr>
                <w:rFonts w:cs="Fanan"/>
                <w:color w:val="000000"/>
                <w:rtl/>
              </w:rPr>
            </w:pPr>
            <w:r w:rsidRPr="00EA0E56">
              <w:rPr>
                <w:rFonts w:cs="Fanan"/>
                <w:color w:val="000000"/>
              </w:rPr>
              <w:drawing>
                <wp:inline distT="0" distB="0" distL="0" distR="0" wp14:anchorId="437C79E3" wp14:editId="68253921">
                  <wp:extent cx="2495550" cy="1247775"/>
                  <wp:effectExtent l="19050" t="19050" r="19050" b="285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lum contrast="40000"/>
                            <a:extLst>
                              <a:ext uri="{28A0092B-C50C-407E-A947-70E740481C1C}">
                                <a14:useLocalDpi xmlns:a14="http://schemas.microsoft.com/office/drawing/2010/main" val="0"/>
                              </a:ext>
                            </a:extLst>
                          </a:blip>
                          <a:srcRect/>
                          <a:stretch>
                            <a:fillRect/>
                          </a:stretch>
                        </pic:blipFill>
                        <pic:spPr bwMode="auto">
                          <a:xfrm flipV="1">
                            <a:off x="0" y="0"/>
                            <a:ext cx="2495550" cy="1247775"/>
                          </a:xfrm>
                          <a:prstGeom prst="rect">
                            <a:avLst/>
                          </a:prstGeom>
                          <a:noFill/>
                          <a:ln w="3175" cmpd="sng">
                            <a:solidFill>
                              <a:srgbClr val="FFFFFF"/>
                            </a:solidFill>
                            <a:miter lim="800000"/>
                            <a:headEnd/>
                            <a:tailEnd/>
                          </a:ln>
                          <a:effectLst/>
                        </pic:spPr>
                      </pic:pic>
                    </a:graphicData>
                  </a:graphic>
                </wp:inline>
              </w:drawing>
            </w:r>
          </w:p>
        </w:tc>
        <w:tc>
          <w:tcPr>
            <w:tcW w:w="4535" w:type="dxa"/>
            <w:vAlign w:val="center"/>
          </w:tcPr>
          <w:p w14:paraId="3CAB90DD" w14:textId="35548D77" w:rsidR="00A8538B" w:rsidRPr="00EA0E56" w:rsidRDefault="00A8538B" w:rsidP="00CA64ED">
            <w:pPr>
              <w:pStyle w:val="a1"/>
              <w:jc w:val="center"/>
              <w:rPr>
                <w:rFonts w:cs="Fanan"/>
                <w:color w:val="000000"/>
                <w:rtl/>
              </w:rPr>
            </w:pPr>
            <w:r w:rsidRPr="00EA0E56">
              <w:rPr>
                <w:rFonts w:cs="Fanan"/>
                <w:color w:val="000000"/>
              </w:rPr>
              <w:drawing>
                <wp:inline distT="0" distB="0" distL="0" distR="0" wp14:anchorId="195CD6AE" wp14:editId="15B7556A">
                  <wp:extent cx="2495550" cy="12573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lum contrast="40000"/>
                            <a:extLst>
                              <a:ext uri="{28A0092B-C50C-407E-A947-70E740481C1C}">
                                <a14:useLocalDpi xmlns:a14="http://schemas.microsoft.com/office/drawing/2010/main" val="0"/>
                              </a:ext>
                            </a:extLst>
                          </a:blip>
                          <a:srcRect/>
                          <a:stretch>
                            <a:fillRect/>
                          </a:stretch>
                        </pic:blipFill>
                        <pic:spPr bwMode="auto">
                          <a:xfrm>
                            <a:off x="0" y="0"/>
                            <a:ext cx="2495550" cy="1257300"/>
                          </a:xfrm>
                          <a:prstGeom prst="rect">
                            <a:avLst/>
                          </a:prstGeom>
                          <a:noFill/>
                          <a:ln>
                            <a:noFill/>
                          </a:ln>
                        </pic:spPr>
                      </pic:pic>
                    </a:graphicData>
                  </a:graphic>
                </wp:inline>
              </w:drawing>
            </w:r>
          </w:p>
        </w:tc>
      </w:tr>
      <w:tr w:rsidR="00A8538B" w:rsidRPr="00EA0E56" w14:paraId="08881D68" w14:textId="77777777" w:rsidTr="00CA64ED">
        <w:trPr>
          <w:jc w:val="center"/>
        </w:trPr>
        <w:tc>
          <w:tcPr>
            <w:tcW w:w="4535" w:type="dxa"/>
            <w:vAlign w:val="center"/>
          </w:tcPr>
          <w:p w14:paraId="086D76BD" w14:textId="77777777" w:rsidR="00A8538B" w:rsidRPr="00EA0E56" w:rsidRDefault="00A8538B" w:rsidP="00CA64ED">
            <w:pPr>
              <w:pStyle w:val="a1"/>
              <w:jc w:val="center"/>
              <w:rPr>
                <w:color w:val="000000"/>
                <w:sz w:val="20"/>
                <w:szCs w:val="20"/>
                <w:rtl/>
              </w:rPr>
            </w:pPr>
            <w:r w:rsidRPr="00EA0E56">
              <w:rPr>
                <w:color w:val="000000"/>
                <w:sz w:val="20"/>
                <w:szCs w:val="20"/>
                <w:rtl/>
              </w:rPr>
              <w:t>(أ) حى الشبيكة (المنطقة المركزية)</w:t>
            </w:r>
          </w:p>
        </w:tc>
        <w:tc>
          <w:tcPr>
            <w:tcW w:w="4535" w:type="dxa"/>
            <w:vAlign w:val="center"/>
          </w:tcPr>
          <w:p w14:paraId="6A70E82E" w14:textId="77777777" w:rsidR="00A8538B" w:rsidRPr="00EA0E56" w:rsidRDefault="00A8538B" w:rsidP="00CA64ED">
            <w:pPr>
              <w:pStyle w:val="a1"/>
              <w:jc w:val="center"/>
              <w:rPr>
                <w:color w:val="000000"/>
                <w:sz w:val="20"/>
                <w:szCs w:val="20"/>
                <w:rtl/>
              </w:rPr>
            </w:pPr>
            <w:r w:rsidRPr="00EA0E56">
              <w:rPr>
                <w:color w:val="000000"/>
                <w:sz w:val="20"/>
                <w:szCs w:val="20"/>
                <w:rtl/>
              </w:rPr>
              <w:t>(ب) حى المسفلة</w:t>
            </w:r>
          </w:p>
        </w:tc>
      </w:tr>
      <w:tr w:rsidR="00A8538B" w:rsidRPr="00EA0E56" w14:paraId="36161233" w14:textId="77777777" w:rsidTr="00CA64ED">
        <w:trPr>
          <w:jc w:val="center"/>
        </w:trPr>
        <w:tc>
          <w:tcPr>
            <w:tcW w:w="4535" w:type="dxa"/>
            <w:vAlign w:val="center"/>
          </w:tcPr>
          <w:p w14:paraId="68DCD973" w14:textId="4DAA7FED" w:rsidR="00A8538B" w:rsidRPr="00EA0E56" w:rsidRDefault="00A8538B" w:rsidP="00CA64ED">
            <w:pPr>
              <w:pStyle w:val="a1"/>
              <w:jc w:val="center"/>
              <w:rPr>
                <w:rFonts w:cs="Fanan"/>
                <w:color w:val="000000"/>
                <w:rtl/>
              </w:rPr>
            </w:pPr>
            <w:r w:rsidRPr="00EA0E56">
              <w:rPr>
                <w:rFonts w:cs="Fanan"/>
                <w:color w:val="000000"/>
              </w:rPr>
              <w:drawing>
                <wp:inline distT="0" distB="0" distL="0" distR="0" wp14:anchorId="19A48331" wp14:editId="1A5F1B64">
                  <wp:extent cx="2381250" cy="12001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lum contrast="40000"/>
                            <a:extLst>
                              <a:ext uri="{28A0092B-C50C-407E-A947-70E740481C1C}">
                                <a14:useLocalDpi xmlns:a14="http://schemas.microsoft.com/office/drawing/2010/main" val="0"/>
                              </a:ext>
                            </a:extLst>
                          </a:blip>
                          <a:srcRect/>
                          <a:stretch>
                            <a:fillRect/>
                          </a:stretch>
                        </pic:blipFill>
                        <pic:spPr bwMode="auto">
                          <a:xfrm>
                            <a:off x="0" y="0"/>
                            <a:ext cx="2381250" cy="1200150"/>
                          </a:xfrm>
                          <a:prstGeom prst="rect">
                            <a:avLst/>
                          </a:prstGeom>
                          <a:noFill/>
                          <a:ln>
                            <a:noFill/>
                          </a:ln>
                        </pic:spPr>
                      </pic:pic>
                    </a:graphicData>
                  </a:graphic>
                </wp:inline>
              </w:drawing>
            </w:r>
          </w:p>
        </w:tc>
        <w:tc>
          <w:tcPr>
            <w:tcW w:w="4535" w:type="dxa"/>
            <w:vAlign w:val="center"/>
          </w:tcPr>
          <w:p w14:paraId="7B8EF33B" w14:textId="7E203877" w:rsidR="00A8538B" w:rsidRPr="00EA0E56" w:rsidRDefault="00A8538B" w:rsidP="00CA64ED">
            <w:pPr>
              <w:pStyle w:val="a1"/>
              <w:jc w:val="center"/>
              <w:rPr>
                <w:rFonts w:cs="Fanan"/>
                <w:color w:val="000000"/>
                <w:rtl/>
              </w:rPr>
            </w:pPr>
            <w:r w:rsidRPr="00EA0E56">
              <w:rPr>
                <w:rFonts w:cs="Fanan"/>
                <w:color w:val="000000"/>
              </w:rPr>
              <w:drawing>
                <wp:inline distT="0" distB="0" distL="0" distR="0" wp14:anchorId="5749A832" wp14:editId="4F54AA90">
                  <wp:extent cx="2419350" cy="12096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lum contrast="40000"/>
                            <a:extLst>
                              <a:ext uri="{28A0092B-C50C-407E-A947-70E740481C1C}">
                                <a14:useLocalDpi xmlns:a14="http://schemas.microsoft.com/office/drawing/2010/main" val="0"/>
                              </a:ext>
                            </a:extLst>
                          </a:blip>
                          <a:srcRect/>
                          <a:stretch>
                            <a:fillRect/>
                          </a:stretch>
                        </pic:blipFill>
                        <pic:spPr bwMode="auto">
                          <a:xfrm>
                            <a:off x="0" y="0"/>
                            <a:ext cx="2419350" cy="1209675"/>
                          </a:xfrm>
                          <a:prstGeom prst="rect">
                            <a:avLst/>
                          </a:prstGeom>
                          <a:noFill/>
                          <a:ln>
                            <a:noFill/>
                          </a:ln>
                        </pic:spPr>
                      </pic:pic>
                    </a:graphicData>
                  </a:graphic>
                </wp:inline>
              </w:drawing>
            </w:r>
          </w:p>
        </w:tc>
      </w:tr>
      <w:tr w:rsidR="00A8538B" w:rsidRPr="00EA0E56" w14:paraId="5BAE9504" w14:textId="77777777" w:rsidTr="00CA64ED">
        <w:trPr>
          <w:jc w:val="center"/>
        </w:trPr>
        <w:tc>
          <w:tcPr>
            <w:tcW w:w="4535" w:type="dxa"/>
            <w:vAlign w:val="center"/>
          </w:tcPr>
          <w:p w14:paraId="07C4FA6F" w14:textId="77777777" w:rsidR="00A8538B" w:rsidRPr="00EA0E56" w:rsidRDefault="00A8538B" w:rsidP="00CA64ED">
            <w:pPr>
              <w:pStyle w:val="a1"/>
              <w:jc w:val="center"/>
              <w:rPr>
                <w:color w:val="000000"/>
                <w:sz w:val="20"/>
                <w:szCs w:val="20"/>
                <w:rtl/>
              </w:rPr>
            </w:pPr>
            <w:r w:rsidRPr="00EA0E56">
              <w:rPr>
                <w:color w:val="000000"/>
                <w:sz w:val="20"/>
                <w:szCs w:val="20"/>
                <w:rtl/>
              </w:rPr>
              <w:t>(ج) حى العزيزية</w:t>
            </w:r>
          </w:p>
        </w:tc>
        <w:tc>
          <w:tcPr>
            <w:tcW w:w="4535" w:type="dxa"/>
            <w:vAlign w:val="center"/>
          </w:tcPr>
          <w:p w14:paraId="2AC827E0" w14:textId="77777777" w:rsidR="00A8538B" w:rsidRPr="00EA0E56" w:rsidRDefault="00A8538B" w:rsidP="00CA64ED">
            <w:pPr>
              <w:pStyle w:val="a1"/>
              <w:jc w:val="center"/>
              <w:rPr>
                <w:color w:val="000000"/>
                <w:sz w:val="20"/>
                <w:szCs w:val="20"/>
                <w:rtl/>
              </w:rPr>
            </w:pPr>
            <w:r w:rsidRPr="00EA0E56">
              <w:rPr>
                <w:color w:val="000000"/>
                <w:sz w:val="20"/>
                <w:szCs w:val="20"/>
                <w:rtl/>
              </w:rPr>
              <w:t>(د) حى العوالى</w:t>
            </w:r>
          </w:p>
        </w:tc>
      </w:tr>
    </w:tbl>
    <w:p w14:paraId="53978FB8" w14:textId="77777777" w:rsidR="00A8538B" w:rsidRPr="00EA0E56" w:rsidRDefault="00A8538B" w:rsidP="00A8538B">
      <w:pPr>
        <w:pStyle w:val="a1"/>
        <w:jc w:val="center"/>
        <w:rPr>
          <w:color w:val="000000"/>
          <w:sz w:val="20"/>
          <w:szCs w:val="20"/>
          <w:rtl/>
        </w:rPr>
      </w:pPr>
      <w:r w:rsidRPr="00EA0E56">
        <w:rPr>
          <w:color w:val="000000"/>
          <w:sz w:val="20"/>
          <w:szCs w:val="20"/>
          <w:rtl/>
        </w:rPr>
        <w:t>شكل</w:t>
      </w:r>
      <w:r w:rsidRPr="00EA0E56">
        <w:rPr>
          <w:rFonts w:hint="cs"/>
          <w:color w:val="000000"/>
          <w:sz w:val="20"/>
          <w:szCs w:val="20"/>
          <w:rtl/>
        </w:rPr>
        <w:t xml:space="preserve"> - 7</w:t>
      </w:r>
      <w:r w:rsidRPr="00EA0E56">
        <w:rPr>
          <w:color w:val="000000"/>
          <w:sz w:val="20"/>
          <w:szCs w:val="20"/>
          <w:rtl/>
        </w:rPr>
        <w:t>: عدد حالات دخول المستشفيات بسبب أمراض الجهاز التنفسي لكل 100000 شخص.</w:t>
      </w:r>
    </w:p>
    <w:p w14:paraId="78717ACE" w14:textId="77777777" w:rsidR="00A8538B" w:rsidRPr="00EA0E56" w:rsidRDefault="00A8538B" w:rsidP="00A8538B">
      <w:pPr>
        <w:pStyle w:val="a1"/>
        <w:rPr>
          <w:rFonts w:cs="Fanan"/>
          <w:color w:val="000000"/>
          <w:sz w:val="16"/>
          <w:szCs w:val="16"/>
          <w:highlight w:val="yellow"/>
          <w:rtl/>
        </w:rPr>
      </w:pPr>
    </w:p>
    <w:p w14:paraId="34811F6E" w14:textId="77777777" w:rsidR="00A8538B" w:rsidRPr="00EA0E56" w:rsidRDefault="00A8538B" w:rsidP="00A8538B">
      <w:pPr>
        <w:pStyle w:val="a1"/>
        <w:rPr>
          <w:color w:val="000000"/>
          <w:rtl/>
        </w:rPr>
      </w:pPr>
      <w:r w:rsidRPr="00EA0E56">
        <w:rPr>
          <w:color w:val="000000"/>
          <w:rtl/>
        </w:rPr>
        <w:t xml:space="preserve">كما بينت نتائج النموذج </w:t>
      </w:r>
      <w:r w:rsidRPr="00EA0E56">
        <w:rPr>
          <w:color w:val="000000"/>
        </w:rPr>
        <w:t>AirQ2.2.3</w:t>
      </w:r>
      <w:r w:rsidRPr="00EA0E56">
        <w:rPr>
          <w:color w:val="000000"/>
          <w:rtl/>
        </w:rPr>
        <w:t xml:space="preserve"> أن معامل التركيز والاستجابة (</w:t>
      </w:r>
      <w:r w:rsidRPr="00EA0E56">
        <w:rPr>
          <w:color w:val="000000"/>
        </w:rPr>
        <w:t>95% CI</w:t>
      </w:r>
      <w:r w:rsidRPr="00EA0E56">
        <w:rPr>
          <w:color w:val="000000"/>
          <w:rtl/>
        </w:rPr>
        <w:t>) هو 0.53(0.11-0.95%)، 0.70(0.33-1.06%)، 0.68(0.37-0.99%)، 0.05(0.06-0.04%) فى حى الشبيكة بالمنطقة المركزية، حى المسفلة، حى العزيزية، وحى العوالى، على التوالى لكل 10 ميكروجم/م3 زيادة فى التركيز. وكانت هذه القيم أقل من التى تم رصدها فى القاهرة- مصر 4.1 (4 – 4.2) وفي تالين - استونيا 1.14٪ (0.62-1.67)، في حين أنها أعلى من التى تم رصدها فى شانغهاى بالصين 0.23 (0.03-0.48) وفي شمال الصين 0.036(0.06 – 0.012) [20، 27-30].</w:t>
      </w:r>
    </w:p>
    <w:p w14:paraId="589F9CB2" w14:textId="77777777" w:rsidR="00A8538B" w:rsidRPr="00EA0E56" w:rsidRDefault="00A8538B" w:rsidP="00A8538B">
      <w:pPr>
        <w:pStyle w:val="a1"/>
        <w:rPr>
          <w:color w:val="000000"/>
          <w:rtl/>
        </w:rPr>
      </w:pPr>
      <w:r w:rsidRPr="00EA0E56">
        <w:rPr>
          <w:color w:val="000000"/>
          <w:rtl/>
        </w:rPr>
        <w:t xml:space="preserve">وبمقارنة نتائج الدراسة الحالية  (18- 3050 حالة فى كل 100000 شخص بمتوسط 1534 حالة) فى جميع مواقع القياس بعدد حالات دخول المستشفيات بسبب أمراض الجهاز التنفسي نتيجة التعرض لتركيزات </w:t>
      </w:r>
      <w:r w:rsidRPr="00EA0E56">
        <w:rPr>
          <w:color w:val="000000"/>
        </w:rPr>
        <w:t>PM10</w:t>
      </w:r>
      <w:r w:rsidRPr="00EA0E56">
        <w:rPr>
          <w:color w:val="000000"/>
          <w:rtl/>
        </w:rPr>
        <w:t xml:space="preserve"> المسجلة فى بلدان مختلفة حول العالم وجد أنها أقل من التى تم تسجيلها في الولايات المتحدة الأمريكية (8970 حالة في كل100000 شخص)، وفى ماليزيا  (2003 حالة فى كل 100000 شخص). ولكنها أعلى من التى تم تسجيلها فى الصين (1240 حالة فى كل 100000 شخص) [20-26].</w:t>
      </w:r>
    </w:p>
    <w:p w14:paraId="7E4B3B6B" w14:textId="77777777" w:rsidR="00A8538B" w:rsidRPr="00EA0E56" w:rsidRDefault="00A8538B" w:rsidP="00A8538B">
      <w:pPr>
        <w:pStyle w:val="a1"/>
        <w:rPr>
          <w:color w:val="000000"/>
          <w:rtl/>
        </w:rPr>
      </w:pPr>
      <w:r w:rsidRPr="00EA0E56">
        <w:rPr>
          <w:color w:val="000000"/>
          <w:rtl/>
        </w:rPr>
        <w:t>فى النهاية فإن الدراسات المتعلقة بالأتربة الصدرية المستنشقة (</w:t>
      </w:r>
      <w:r w:rsidRPr="00EA0E56">
        <w:rPr>
          <w:color w:val="000000"/>
        </w:rPr>
        <w:t>PM10</w:t>
      </w:r>
      <w:r w:rsidRPr="00EA0E56">
        <w:rPr>
          <w:color w:val="000000"/>
          <w:rtl/>
        </w:rPr>
        <w:t>) وعلاقتها بعدد حالات دخول المستشفيات بسبب أمراض الجهاز التنفسي تحتاج المزيد من الوقت والدراسة للتحقق من أنها المسبب الرئيسى لأمراض الجهاز التنفسى في مكة المكرمة.</w:t>
      </w:r>
    </w:p>
    <w:p w14:paraId="27336126" w14:textId="77777777" w:rsidR="00A8538B" w:rsidRPr="00EA0E56" w:rsidRDefault="00A8538B" w:rsidP="00A8538B">
      <w:pPr>
        <w:pStyle w:val="a1"/>
        <w:rPr>
          <w:color w:val="000000"/>
          <w:sz w:val="20"/>
        </w:rPr>
      </w:pPr>
    </w:p>
    <w:p w14:paraId="7922AA38" w14:textId="77777777" w:rsidR="00A8538B" w:rsidRPr="00EA0E56" w:rsidRDefault="00A8538B" w:rsidP="00A8538B">
      <w:pPr>
        <w:pStyle w:val="a5"/>
        <w:rPr>
          <w:color w:val="000000"/>
          <w:rtl/>
        </w:rPr>
      </w:pPr>
      <w:r w:rsidRPr="00EA0E56">
        <w:rPr>
          <w:rFonts w:hint="cs"/>
          <w:color w:val="000000"/>
          <w:rtl/>
        </w:rPr>
        <w:t>الخاتمة</w:t>
      </w:r>
    </w:p>
    <w:p w14:paraId="41E9281F" w14:textId="77777777" w:rsidR="00A8538B" w:rsidRPr="00EA0E56" w:rsidRDefault="00A8538B" w:rsidP="00A8538B">
      <w:pPr>
        <w:pStyle w:val="a1"/>
        <w:rPr>
          <w:color w:val="000000"/>
          <w:rtl/>
        </w:rPr>
      </w:pPr>
      <w:r w:rsidRPr="00EA0E56">
        <w:rPr>
          <w:color w:val="000000"/>
          <w:rtl/>
        </w:rPr>
        <w:t>ناقشت الدراسة تراكيز الأتربة الصدرية المستنشقة فى أحياء مختلفة متنوعة النشاط بمكة المكرمة خلال الفترة من 1رمضان لعام 1434هـ إلى 27 صفر لعام 1435هـ. وقد أشارت الدراسة إلى وجود تراكيز عالية من الأتربة الصدرية فى حى الشبيكة بالمنطقة المركزية، حى المسفلة، وحى العزيزية، وكانت أقل التراكيز فى حى العوالى. وهذه القيم لم تتجاوز الحدود المسموح بها فى قانون حماية البيئة واللائحة التنفيذية بالرئاسة العامة للأرصاد وحماية البيئة (</w:t>
      </w:r>
      <w:r w:rsidRPr="00EA0E56">
        <w:rPr>
          <w:color w:val="000000"/>
        </w:rPr>
        <w:t>PME</w:t>
      </w:r>
      <w:r w:rsidRPr="00EA0E56">
        <w:rPr>
          <w:color w:val="000000"/>
          <w:rtl/>
        </w:rPr>
        <w:t xml:space="preserve">) للأتربة الصدرية (340 ميكروجم/م3 كمتوسط يومي). وقد أعزت الدراسة سبب ذلك إلى الأعمال التطويرية الضخمة </w:t>
      </w:r>
      <w:r w:rsidRPr="00EA0E56">
        <w:rPr>
          <w:color w:val="000000"/>
          <w:rtl/>
        </w:rPr>
        <w:lastRenderedPageBreak/>
        <w:t xml:space="preserve">القائمة حاليا من أجل توسعة المسجد الحرام خاصة في منطقتي المسعى والساحة الشمالية من الحرم وما ينجم عن ذلك من حركة كثيفة للشاحنات والمعدات الثقيلة بالمنطقة المحيطة بالحرم وما ينتج عنها من أتربة صدرية كثيفة عالقة بالهواء نتيجة عمليات الهدم والتكسير الصخري المستمرة على مدار 24 ساعة. وفى المسفلة والعزيزية إلى كثافة السكان والأنشطة البشرية والكثافة المرورية وما ينتج عنها من أتربة صدرية كثيفة عالقة بالهواء نتيجة الحركة الكثيفة للسيارات والشاحنات. </w:t>
      </w:r>
    </w:p>
    <w:p w14:paraId="28B4F7D1" w14:textId="77777777" w:rsidR="00A8538B" w:rsidRPr="00EA0E56" w:rsidRDefault="00A8538B" w:rsidP="00A8538B">
      <w:pPr>
        <w:pStyle w:val="a1"/>
        <w:rPr>
          <w:color w:val="000000"/>
          <w:rtl/>
        </w:rPr>
      </w:pPr>
      <w:r w:rsidRPr="00EA0E56">
        <w:rPr>
          <w:color w:val="000000"/>
          <w:rtl/>
        </w:rPr>
        <w:t xml:space="preserve">كذلك تم تطبيق نموذج </w:t>
      </w:r>
      <w:r w:rsidRPr="00EA0E56">
        <w:rPr>
          <w:color w:val="000000"/>
        </w:rPr>
        <w:t>AirQ2.2.3</w:t>
      </w:r>
      <w:r w:rsidRPr="00EA0E56">
        <w:rPr>
          <w:color w:val="000000"/>
          <w:rtl/>
        </w:rPr>
        <w:t xml:space="preserve"> للتنبأ بعدد حالات دخول المستشفيات بسبب أمراض الجهاز التنفسي في مدينة مكة المكرمة، المملكة العربية السعودية خلال فترة سنة واحدة. حيث تراوحت بين (18 -3050 حالة فى كل 100000 شخص بمتوسط 1534 حالة). وكان معامل التركيز والاستجابة بين 0.49( 0.05 – 0.70 ) لكل 10 ميكروجم/م3 زيادة فى التركيز بجميع مواقع الدراسة. وتمت مقارنة نتائج النموذج بالدراسات التي أجريت في بلدان أخرى حول العالم. </w:t>
      </w:r>
    </w:p>
    <w:p w14:paraId="4193DC80" w14:textId="77777777" w:rsidR="00A8538B" w:rsidRPr="00EA0E56" w:rsidRDefault="00A8538B" w:rsidP="00A8538B">
      <w:pPr>
        <w:pStyle w:val="a5"/>
        <w:rPr>
          <w:color w:val="000000"/>
          <w:rtl/>
        </w:rPr>
      </w:pPr>
      <w:r w:rsidRPr="00EA0E56">
        <w:rPr>
          <w:color w:val="000000"/>
          <w:rtl/>
        </w:rPr>
        <w:t>التوصيات</w:t>
      </w:r>
    </w:p>
    <w:p w14:paraId="607EF097" w14:textId="77777777" w:rsidR="00A8538B" w:rsidRPr="00EA0E56" w:rsidRDefault="00A8538B" w:rsidP="00A8538B">
      <w:pPr>
        <w:pStyle w:val="a1"/>
        <w:rPr>
          <w:color w:val="000000"/>
          <w:rtl/>
        </w:rPr>
      </w:pPr>
      <w:r w:rsidRPr="00EA0E56">
        <w:rPr>
          <w:color w:val="000000"/>
          <w:rtl/>
        </w:rPr>
        <w:t>لذلك توصى هذه الدراسة بالتالي:</w:t>
      </w:r>
    </w:p>
    <w:p w14:paraId="00E0C5BF" w14:textId="77777777" w:rsidR="00A8538B" w:rsidRPr="00EA0E56" w:rsidRDefault="00A8538B" w:rsidP="00FB10D2">
      <w:pPr>
        <w:pStyle w:val="a1"/>
        <w:numPr>
          <w:ilvl w:val="0"/>
          <w:numId w:val="7"/>
        </w:numPr>
        <w:rPr>
          <w:color w:val="000000"/>
        </w:rPr>
      </w:pPr>
      <w:r w:rsidRPr="00EA0E56">
        <w:rPr>
          <w:color w:val="000000"/>
          <w:rtl/>
        </w:rPr>
        <w:t>تشجيع التعاون مع المراكز الصحية التابعة لوزارة الصحة السعودية بمناطق مكة المكرمة لعمل حصر فعلى مدقق لعدد حالات دخول المستشفيات بسبب أمراض الجهاز التنفسي، يمكن من خلاله التنبؤ سنويا بعدد حالات دخول المستشفيات نتيجة التعرض لتراكيز الأتربة الصدرية المستنشقة (</w:t>
      </w:r>
      <w:r w:rsidRPr="00EA0E56">
        <w:rPr>
          <w:color w:val="000000"/>
        </w:rPr>
        <w:t>PM10</w:t>
      </w:r>
      <w:r w:rsidRPr="00EA0E56">
        <w:rPr>
          <w:color w:val="000000"/>
          <w:rtl/>
        </w:rPr>
        <w:t>).</w:t>
      </w:r>
    </w:p>
    <w:p w14:paraId="4A0EF1A6" w14:textId="77777777" w:rsidR="00A8538B" w:rsidRPr="00EA0E56" w:rsidRDefault="00A8538B" w:rsidP="00FB10D2">
      <w:pPr>
        <w:pStyle w:val="a1"/>
        <w:numPr>
          <w:ilvl w:val="0"/>
          <w:numId w:val="7"/>
        </w:numPr>
        <w:rPr>
          <w:color w:val="000000"/>
        </w:rPr>
      </w:pPr>
      <w:r w:rsidRPr="00EA0E56">
        <w:rPr>
          <w:color w:val="000000"/>
          <w:rtl/>
        </w:rPr>
        <w:t>مد متخذى القرار بالجهات التنفيذية بنتائج هذه الدراسة لوضع خطط مستقبلية تتلائم مع عدد حالات دخول المستشفيات المتنبأ بها.</w:t>
      </w:r>
    </w:p>
    <w:p w14:paraId="3A594F2A" w14:textId="77777777" w:rsidR="00A8538B" w:rsidRPr="00EA0E56" w:rsidRDefault="00A8538B" w:rsidP="00FB10D2">
      <w:pPr>
        <w:pStyle w:val="a1"/>
        <w:numPr>
          <w:ilvl w:val="0"/>
          <w:numId w:val="7"/>
        </w:numPr>
        <w:rPr>
          <w:color w:val="000000"/>
        </w:rPr>
      </w:pPr>
      <w:r w:rsidRPr="00EA0E56">
        <w:rPr>
          <w:color w:val="000000"/>
          <w:rtl/>
        </w:rPr>
        <w:t>إتخاذ التدابير والإجراءات الإحترازية بمنع وتقليل عمليات الهدم والبناء فى المناطق التى بين نموذج المحاكاه زيادة اعداد دخول المستشفيات بها زخاصة فى مواسم الذروة (رمضان، الحج).</w:t>
      </w:r>
    </w:p>
    <w:p w14:paraId="0F3EC5BE" w14:textId="77777777" w:rsidR="00A8538B" w:rsidRPr="00EA0E56" w:rsidRDefault="00A8538B" w:rsidP="00FB10D2">
      <w:pPr>
        <w:pStyle w:val="a1"/>
        <w:numPr>
          <w:ilvl w:val="0"/>
          <w:numId w:val="7"/>
        </w:numPr>
        <w:rPr>
          <w:color w:val="000000"/>
        </w:rPr>
      </w:pPr>
      <w:r w:rsidRPr="00EA0E56">
        <w:rPr>
          <w:color w:val="000000"/>
          <w:rtl/>
        </w:rPr>
        <w:t>استمرار اجراء القياسات والرصد المستمر لتراكيز الأتربة المستنشقة وحصر الأعداد الفعلية لعدد حالات دخول المستشفيات بسبب أمراض الجهاز التنفسي، حيث يمكن من خلال هذه البيانات التنبؤ سنويا بعدد حالات دخول المستشفيات نتيجة التعرض لتراكيز الأتربة الصدرية المستنشقة (</w:t>
      </w:r>
      <w:r w:rsidRPr="00EA0E56">
        <w:rPr>
          <w:color w:val="000000"/>
        </w:rPr>
        <w:t>PM10</w:t>
      </w:r>
      <w:r w:rsidRPr="00EA0E56">
        <w:rPr>
          <w:color w:val="000000"/>
          <w:rtl/>
        </w:rPr>
        <w:t>).</w:t>
      </w:r>
    </w:p>
    <w:p w14:paraId="7634C870" w14:textId="77777777" w:rsidR="00A8538B" w:rsidRPr="00EA0E56" w:rsidRDefault="00A8538B" w:rsidP="00A8538B">
      <w:pPr>
        <w:pStyle w:val="a1"/>
        <w:rPr>
          <w:color w:val="000000"/>
          <w:sz w:val="20"/>
        </w:rPr>
      </w:pPr>
    </w:p>
    <w:p w14:paraId="61FA564A" w14:textId="77777777" w:rsidR="00A8538B" w:rsidRPr="00EA0E56" w:rsidRDefault="00A8538B" w:rsidP="00A8538B">
      <w:pPr>
        <w:pStyle w:val="a5"/>
        <w:rPr>
          <w:color w:val="000000"/>
        </w:rPr>
      </w:pPr>
      <w:r w:rsidRPr="00EA0E56">
        <w:rPr>
          <w:rFonts w:hint="cs"/>
          <w:color w:val="000000"/>
          <w:rtl/>
        </w:rPr>
        <w:t>المراجع</w:t>
      </w:r>
    </w:p>
    <w:p w14:paraId="5BCD3A69" w14:textId="77777777" w:rsidR="00A8538B" w:rsidRPr="00EA0E56" w:rsidRDefault="00A8538B" w:rsidP="00FB10D2">
      <w:pPr>
        <w:pStyle w:val="a1"/>
        <w:numPr>
          <w:ilvl w:val="0"/>
          <w:numId w:val="6"/>
        </w:numPr>
        <w:rPr>
          <w:color w:val="000000"/>
          <w:sz w:val="20"/>
          <w:rtl/>
        </w:rPr>
      </w:pPr>
      <w:r w:rsidRPr="00EA0E56">
        <w:rPr>
          <w:color w:val="000000"/>
          <w:sz w:val="20"/>
          <w:rtl/>
        </w:rPr>
        <w:t>نصر الله، م. م.، 2001م، تلوث الهواء وحماية البيئة الهوائية- الناشر أكاديمية البحث العلمي- القاهرة.</w:t>
      </w:r>
    </w:p>
    <w:p w14:paraId="6B46ACB4" w14:textId="77777777" w:rsidR="00A8538B" w:rsidRPr="00EA0E56" w:rsidRDefault="00A8538B" w:rsidP="00FB10D2">
      <w:pPr>
        <w:pStyle w:val="a1"/>
        <w:numPr>
          <w:ilvl w:val="0"/>
          <w:numId w:val="6"/>
        </w:numPr>
        <w:rPr>
          <w:color w:val="000000"/>
          <w:sz w:val="20"/>
          <w:rtl/>
        </w:rPr>
      </w:pPr>
      <w:r w:rsidRPr="00EA0E56">
        <w:rPr>
          <w:color w:val="000000"/>
          <w:sz w:val="20"/>
          <w:rtl/>
        </w:rPr>
        <w:t>نصر الله، م. م.، 1424-1428هـ، برنامج تعرض الحجاج والمعتمرين لملوثات الهواء – تقارير معهد خادم الحرمين الشريفين لأبحاث الحج- مكة المكرمة.</w:t>
      </w:r>
    </w:p>
    <w:p w14:paraId="115C5813" w14:textId="77777777" w:rsidR="00A8538B" w:rsidRPr="00EA0E56" w:rsidRDefault="00A8538B" w:rsidP="00FB10D2">
      <w:pPr>
        <w:pStyle w:val="a1"/>
        <w:numPr>
          <w:ilvl w:val="0"/>
          <w:numId w:val="6"/>
        </w:numPr>
        <w:bidi w:val="0"/>
        <w:rPr>
          <w:color w:val="000000"/>
          <w:sz w:val="20"/>
        </w:rPr>
      </w:pPr>
      <w:r w:rsidRPr="00EA0E56">
        <w:rPr>
          <w:color w:val="000000"/>
          <w:sz w:val="20"/>
        </w:rPr>
        <w:t>Nasralla M. and Seroji A. R., 2007, Primary Pollutants and Potential Photochemical Smog Formation in Makkah Atmosphere. Arab Gulf Journal of Science Research, Arabian Gulf University, Manamah, Kingdom of Bahrain, December 2007, Vol. 25, No. 4, 153-161.</w:t>
      </w:r>
    </w:p>
    <w:p w14:paraId="1EAB8CEC" w14:textId="77777777" w:rsidR="00A8538B" w:rsidRPr="00EA0E56" w:rsidRDefault="00A8538B" w:rsidP="00FB10D2">
      <w:pPr>
        <w:pStyle w:val="a1"/>
        <w:numPr>
          <w:ilvl w:val="0"/>
          <w:numId w:val="6"/>
        </w:numPr>
        <w:bidi w:val="0"/>
        <w:rPr>
          <w:color w:val="000000"/>
          <w:sz w:val="20"/>
        </w:rPr>
      </w:pPr>
      <w:r w:rsidRPr="00EA0E56">
        <w:rPr>
          <w:color w:val="000000"/>
          <w:sz w:val="20"/>
        </w:rPr>
        <w:t>Seroji, A. R., 2008, the ground Ozone variations with UV radiation during winter and spring seasons in 2007 over Makkah. Journal of King Abdulaziz University "Science ", Vol. 120, No. 4.</w:t>
      </w:r>
    </w:p>
    <w:p w14:paraId="364A002B" w14:textId="77777777" w:rsidR="00A8538B" w:rsidRPr="00EA0E56" w:rsidRDefault="00A8538B" w:rsidP="00FB10D2">
      <w:pPr>
        <w:pStyle w:val="a1"/>
        <w:numPr>
          <w:ilvl w:val="0"/>
          <w:numId w:val="6"/>
        </w:numPr>
        <w:bidi w:val="0"/>
        <w:rPr>
          <w:color w:val="000000"/>
          <w:sz w:val="20"/>
        </w:rPr>
      </w:pPr>
      <w:r w:rsidRPr="00EA0E56">
        <w:rPr>
          <w:color w:val="000000"/>
          <w:sz w:val="20"/>
        </w:rPr>
        <w:t>WHO, 2002, Guidelines for Air Quality, European Regional Office, World Health Organization, Geneva.</w:t>
      </w:r>
    </w:p>
    <w:p w14:paraId="4FF54192" w14:textId="77777777" w:rsidR="00A8538B" w:rsidRPr="00EA0E56" w:rsidRDefault="00A8538B" w:rsidP="00FB10D2">
      <w:pPr>
        <w:pStyle w:val="a1"/>
        <w:numPr>
          <w:ilvl w:val="0"/>
          <w:numId w:val="6"/>
        </w:numPr>
        <w:bidi w:val="0"/>
        <w:rPr>
          <w:color w:val="000000"/>
          <w:sz w:val="20"/>
        </w:rPr>
      </w:pPr>
      <w:r w:rsidRPr="00EA0E56">
        <w:rPr>
          <w:color w:val="000000"/>
          <w:sz w:val="20"/>
        </w:rPr>
        <w:t>Nasralla M. and Seroji A. R., 2008, Particulates in the Atmosphere of Makkah and Mina Valley during Ramadan and Hajj Seasons of 1424 and 1425 H (2004 – 2005). Arab Gulf Journal of Science Research, Arabian Gulf University, Manamah, Kingdom of Bahrain, December 2008, Vol. 26, No. 4, 199-206.</w:t>
      </w:r>
    </w:p>
    <w:p w14:paraId="0EE1509D" w14:textId="77777777" w:rsidR="00A8538B" w:rsidRPr="00EA0E56" w:rsidRDefault="00A8538B" w:rsidP="00FB10D2">
      <w:pPr>
        <w:pStyle w:val="a1"/>
        <w:numPr>
          <w:ilvl w:val="0"/>
          <w:numId w:val="6"/>
        </w:numPr>
        <w:rPr>
          <w:color w:val="000000"/>
          <w:sz w:val="20"/>
          <w:rtl/>
        </w:rPr>
      </w:pPr>
      <w:r w:rsidRPr="00EA0E56">
        <w:rPr>
          <w:color w:val="000000"/>
          <w:sz w:val="20"/>
          <w:rtl/>
        </w:rPr>
        <w:t>النظام العام للبيئة واللائحة التنفيذية، 1427هـ، ملحق (1) مقاييس حماية البيئة - النظام العام للبيئة واللائحة التنفيذية في المملكة العربية السعودية – وثيقة رقم 1409- 01.</w:t>
      </w:r>
    </w:p>
    <w:p w14:paraId="74DE50F4" w14:textId="77777777" w:rsidR="00A8538B" w:rsidRPr="00EA0E56" w:rsidRDefault="00A8538B" w:rsidP="00FB10D2">
      <w:pPr>
        <w:pStyle w:val="a1"/>
        <w:numPr>
          <w:ilvl w:val="0"/>
          <w:numId w:val="6"/>
        </w:numPr>
        <w:bidi w:val="0"/>
        <w:rPr>
          <w:color w:val="000000"/>
          <w:sz w:val="20"/>
        </w:rPr>
      </w:pPr>
      <w:r w:rsidRPr="00EA0E56">
        <w:rPr>
          <w:color w:val="000000"/>
          <w:sz w:val="20"/>
        </w:rPr>
        <w:t>Kleinman, M.T.; Pasternack, B.S.; Eisenbud, M.E. and Kneip, T.J. (1980). Identifying and estimating the relative importance of sources of airborne particulates. Environ. Sci. Tech. 14 (1): 62 – 65.</w:t>
      </w:r>
    </w:p>
    <w:p w14:paraId="0FD48A25" w14:textId="77777777" w:rsidR="00A8538B" w:rsidRPr="00EA0E56" w:rsidRDefault="00A8538B" w:rsidP="00FB10D2">
      <w:pPr>
        <w:pStyle w:val="a1"/>
        <w:numPr>
          <w:ilvl w:val="0"/>
          <w:numId w:val="6"/>
        </w:numPr>
        <w:bidi w:val="0"/>
        <w:rPr>
          <w:color w:val="000000"/>
          <w:sz w:val="20"/>
        </w:rPr>
      </w:pPr>
      <w:r w:rsidRPr="00EA0E56">
        <w:rPr>
          <w:color w:val="000000"/>
          <w:sz w:val="20"/>
        </w:rPr>
        <w:lastRenderedPageBreak/>
        <w:t xml:space="preserve">Hassan, S.K.M. (2006).  Atmospheric Polycyclic Aromatic Hydrocarbons and Some Heavy Metals in Suspended Particulate Matter in Urban, Industrial and Residential Areas in Greater Cairo. Ph.D. Thesis, Chemistry Department, Faculty of Science, Cairo University, Egypt.  </w:t>
      </w:r>
    </w:p>
    <w:p w14:paraId="67C45753" w14:textId="77777777" w:rsidR="00A8538B" w:rsidRPr="00EA0E56" w:rsidRDefault="00A8538B" w:rsidP="00FB10D2">
      <w:pPr>
        <w:pStyle w:val="a1"/>
        <w:numPr>
          <w:ilvl w:val="0"/>
          <w:numId w:val="6"/>
        </w:numPr>
        <w:bidi w:val="0"/>
        <w:rPr>
          <w:color w:val="000000"/>
          <w:sz w:val="20"/>
        </w:rPr>
      </w:pPr>
      <w:r w:rsidRPr="00EA0E56">
        <w:rPr>
          <w:color w:val="000000"/>
          <w:sz w:val="20"/>
        </w:rPr>
        <w:t xml:space="preserve">Paoletti, L.; Falchi, M.; Viviano, G.; Ziemacki, G.; Batisti, D. and Pisani, D. (1989). Features of airborne breathable particulate in a remote rural and in an urban area. J. Water, Air and Soil Pollution, 43 (1-2): 48 – 85. </w:t>
      </w:r>
    </w:p>
    <w:p w14:paraId="7256F998" w14:textId="77777777" w:rsidR="00A8538B" w:rsidRPr="00EA0E56" w:rsidRDefault="00A8538B" w:rsidP="00FB10D2">
      <w:pPr>
        <w:pStyle w:val="a1"/>
        <w:numPr>
          <w:ilvl w:val="0"/>
          <w:numId w:val="6"/>
        </w:numPr>
        <w:bidi w:val="0"/>
        <w:rPr>
          <w:color w:val="000000"/>
          <w:sz w:val="20"/>
        </w:rPr>
      </w:pPr>
      <w:r w:rsidRPr="00EA0E56">
        <w:rPr>
          <w:color w:val="000000"/>
          <w:sz w:val="20"/>
        </w:rPr>
        <w:t xml:space="preserve">Han, X. and Naher, L.P. (2006). </w:t>
      </w:r>
      <w:hyperlink r:id="rId22" w:history="1">
        <w:r w:rsidRPr="00EA0E56">
          <w:rPr>
            <w:color w:val="000000"/>
            <w:sz w:val="20"/>
          </w:rPr>
          <w:t>A review of traffic-related air pollution exposure assessment studies in the developing world</w:t>
        </w:r>
      </w:hyperlink>
      <w:r w:rsidRPr="00EA0E56">
        <w:rPr>
          <w:color w:val="000000"/>
          <w:sz w:val="20"/>
        </w:rPr>
        <w:t>. Environ. Intern. 32 : 106 – 120.</w:t>
      </w:r>
    </w:p>
    <w:p w14:paraId="0DB23262" w14:textId="77777777" w:rsidR="00A8538B" w:rsidRPr="00EA0E56" w:rsidRDefault="00A8538B" w:rsidP="00FB10D2">
      <w:pPr>
        <w:pStyle w:val="a1"/>
        <w:numPr>
          <w:ilvl w:val="0"/>
          <w:numId w:val="6"/>
        </w:numPr>
        <w:bidi w:val="0"/>
        <w:rPr>
          <w:color w:val="000000"/>
          <w:sz w:val="20"/>
        </w:rPr>
      </w:pPr>
      <w:r w:rsidRPr="00EA0E56">
        <w:rPr>
          <w:color w:val="000000"/>
          <w:sz w:val="20"/>
        </w:rPr>
        <w:t xml:space="preserve">USEPA (US Environmental Protection Agency) (1995a). National Air Pollutant Emission Trends, 1990-1994. </w:t>
      </w:r>
    </w:p>
    <w:p w14:paraId="08439E51" w14:textId="77777777" w:rsidR="00A8538B" w:rsidRPr="00EA0E56" w:rsidRDefault="00A8538B" w:rsidP="00FB10D2">
      <w:pPr>
        <w:pStyle w:val="a1"/>
        <w:numPr>
          <w:ilvl w:val="0"/>
          <w:numId w:val="6"/>
        </w:numPr>
        <w:bidi w:val="0"/>
        <w:rPr>
          <w:color w:val="000000"/>
          <w:sz w:val="20"/>
        </w:rPr>
      </w:pPr>
      <w:r w:rsidRPr="00EA0E56">
        <w:rPr>
          <w:color w:val="000000"/>
          <w:sz w:val="20"/>
        </w:rPr>
        <w:t xml:space="preserve">Chan, L.Y. and Kwok, W.S. (2000). </w:t>
      </w:r>
      <w:hyperlink r:id="rId23" w:tooltip="Vertical dispersion of suspended particulates in urban area of Hong Kong" w:history="1">
        <w:r w:rsidRPr="00EA0E56">
          <w:rPr>
            <w:color w:val="000000"/>
            <w:sz w:val="20"/>
          </w:rPr>
          <w:t>Vertical dispersion of suspended particulates in urban area of Hong Kong</w:t>
        </w:r>
      </w:hyperlink>
      <w:r w:rsidRPr="00EA0E56">
        <w:rPr>
          <w:color w:val="000000"/>
          <w:sz w:val="20"/>
        </w:rPr>
        <w:t>.  Atmos. Environ., 34 (26): 4403 – 4412.</w:t>
      </w:r>
    </w:p>
    <w:p w14:paraId="251D2C32" w14:textId="77777777" w:rsidR="00A8538B" w:rsidRPr="00EA0E56" w:rsidRDefault="00A8538B" w:rsidP="00FB10D2">
      <w:pPr>
        <w:pStyle w:val="a1"/>
        <w:numPr>
          <w:ilvl w:val="0"/>
          <w:numId w:val="6"/>
        </w:numPr>
        <w:bidi w:val="0"/>
        <w:rPr>
          <w:color w:val="000000"/>
          <w:sz w:val="20"/>
        </w:rPr>
      </w:pPr>
      <w:r w:rsidRPr="00EA0E56">
        <w:rPr>
          <w:color w:val="000000"/>
          <w:sz w:val="20"/>
        </w:rPr>
        <w:t>WHO (World Health Organization). Protection of the human environment, assessing the environmental burden of disease at national and local levels, Geneva 2004.</w:t>
      </w:r>
    </w:p>
    <w:p w14:paraId="6B35386D" w14:textId="77777777" w:rsidR="00A8538B" w:rsidRPr="00EA0E56" w:rsidRDefault="00A8538B" w:rsidP="00FB10D2">
      <w:pPr>
        <w:pStyle w:val="a1"/>
        <w:numPr>
          <w:ilvl w:val="0"/>
          <w:numId w:val="6"/>
        </w:numPr>
        <w:bidi w:val="0"/>
        <w:rPr>
          <w:color w:val="000000"/>
          <w:sz w:val="20"/>
        </w:rPr>
      </w:pPr>
      <w:r w:rsidRPr="00EA0E56">
        <w:rPr>
          <w:color w:val="000000"/>
          <w:sz w:val="20"/>
        </w:rPr>
        <w:t>JIS (Japanese Industrial Standards) (1992): General Rule for Test Methods of Reagents, Japanese Industrial Standards Committee, Tokyo, Japan.</w:t>
      </w:r>
    </w:p>
    <w:p w14:paraId="73C2ABA0" w14:textId="77777777" w:rsidR="00A8538B" w:rsidRPr="00EA0E56" w:rsidRDefault="00A8538B" w:rsidP="00FB10D2">
      <w:pPr>
        <w:pStyle w:val="a1"/>
        <w:numPr>
          <w:ilvl w:val="0"/>
          <w:numId w:val="6"/>
        </w:numPr>
        <w:rPr>
          <w:color w:val="000000"/>
          <w:sz w:val="20"/>
          <w:rtl/>
        </w:rPr>
      </w:pPr>
      <w:r w:rsidRPr="00EA0E56">
        <w:rPr>
          <w:color w:val="000000"/>
          <w:sz w:val="20"/>
          <w:rtl/>
        </w:rPr>
        <w:t xml:space="preserve">تركى حبيب الله 1432هـ (2011) البرنامج البحثي لتعرض الحجاج والمعتمرين لملوثات الهواء بمكه المكرمة والمشاعر المقدسة. "التقرير الثاني" الجزء الأول: التوزيع الحجمي والتركيب الكيميائي والمعدني للأتربة العالقة (الأنيونات - الكاتيونات - المعادن) لموسمى الحج 1426هـ  وَ 1431هـ. معهد خادم الحرمين الشريفين لأبحاث الحج والعمرة. جامعة أم القرى , مكة المكرمة, المملكة العربية السعودية.  </w:t>
      </w:r>
    </w:p>
    <w:p w14:paraId="0E3F070C" w14:textId="77777777" w:rsidR="00A8538B" w:rsidRPr="00EA0E56" w:rsidRDefault="00A8538B" w:rsidP="00FB10D2">
      <w:pPr>
        <w:pStyle w:val="a1"/>
        <w:numPr>
          <w:ilvl w:val="0"/>
          <w:numId w:val="6"/>
        </w:numPr>
        <w:bidi w:val="0"/>
        <w:rPr>
          <w:color w:val="000000"/>
          <w:sz w:val="20"/>
          <w:rtl/>
        </w:rPr>
      </w:pPr>
      <w:r w:rsidRPr="00EA0E56">
        <w:rPr>
          <w:color w:val="000000"/>
          <w:sz w:val="20"/>
        </w:rPr>
        <w:t xml:space="preserve">SES (Stirling Energy System) solar. 2008. SES solar one application for certification: volume 3. Appendix DD: public health and safety data. California energy commission. Bureau of land management. ttp://www.energy.ca.gov/sitingcases/solartwo/documents/applicant/afc/volume_02+03/MASTER_Appendix%20DD.pdf </w:t>
      </w:r>
    </w:p>
    <w:p w14:paraId="22FE1CD2" w14:textId="77777777" w:rsidR="00A8538B" w:rsidRPr="00EA0E56" w:rsidRDefault="00A8538B" w:rsidP="00FB10D2">
      <w:pPr>
        <w:pStyle w:val="a1"/>
        <w:numPr>
          <w:ilvl w:val="0"/>
          <w:numId w:val="6"/>
        </w:numPr>
        <w:bidi w:val="0"/>
        <w:rPr>
          <w:color w:val="000000"/>
          <w:sz w:val="20"/>
        </w:rPr>
      </w:pPr>
      <w:r w:rsidRPr="00EA0E56">
        <w:rPr>
          <w:color w:val="000000"/>
          <w:sz w:val="20"/>
        </w:rPr>
        <w:t>Makkah: Mecca-Wikipedia, the free encyclopedia 2010.</w:t>
      </w:r>
    </w:p>
    <w:p w14:paraId="09A46661" w14:textId="77777777" w:rsidR="00A8538B" w:rsidRPr="00EA0E56" w:rsidRDefault="00A8538B" w:rsidP="00FB10D2">
      <w:pPr>
        <w:pStyle w:val="a1"/>
        <w:numPr>
          <w:ilvl w:val="0"/>
          <w:numId w:val="6"/>
        </w:numPr>
        <w:bidi w:val="0"/>
        <w:rPr>
          <w:color w:val="000000"/>
          <w:sz w:val="20"/>
        </w:rPr>
      </w:pPr>
      <w:r w:rsidRPr="00EA0E56">
        <w:rPr>
          <w:color w:val="000000"/>
          <w:sz w:val="20"/>
        </w:rPr>
        <w:t xml:space="preserve">HSYB (Health Statistical Year Book) for Hajj 1432H, 2011.www.moh.gov.sa. </w:t>
      </w:r>
    </w:p>
    <w:p w14:paraId="02F852A9" w14:textId="77777777" w:rsidR="00A8538B" w:rsidRPr="00EA0E56" w:rsidRDefault="00A8538B" w:rsidP="00FB10D2">
      <w:pPr>
        <w:pStyle w:val="a1"/>
        <w:numPr>
          <w:ilvl w:val="0"/>
          <w:numId w:val="6"/>
        </w:numPr>
        <w:bidi w:val="0"/>
        <w:rPr>
          <w:color w:val="000000"/>
          <w:sz w:val="20"/>
        </w:rPr>
      </w:pPr>
      <w:r w:rsidRPr="00EA0E56">
        <w:rPr>
          <w:color w:val="000000"/>
          <w:sz w:val="20"/>
        </w:rPr>
        <w:t>Wang X, Mauzerall DL. Evaluating impacts of air pollution in China on public health: Implications for future air pollution and energy policies. Atmos Environ 2006; 40: 1706-21. http://dx.doi.org/10.1016/j.atmosenv.2005.10.066</w:t>
      </w:r>
    </w:p>
    <w:p w14:paraId="0B87D273" w14:textId="77777777" w:rsidR="00A8538B" w:rsidRPr="00EA0E56" w:rsidRDefault="00A8538B" w:rsidP="00FB10D2">
      <w:pPr>
        <w:pStyle w:val="a1"/>
        <w:numPr>
          <w:ilvl w:val="0"/>
          <w:numId w:val="6"/>
        </w:numPr>
        <w:bidi w:val="0"/>
        <w:rPr>
          <w:color w:val="000000"/>
          <w:sz w:val="20"/>
        </w:rPr>
      </w:pPr>
      <w:r w:rsidRPr="00EA0E56">
        <w:rPr>
          <w:color w:val="000000"/>
          <w:sz w:val="20"/>
        </w:rPr>
        <w:t>Orru H, Teinemaa E, Lai T, Tamm T, Kaasik M, Kimmel V, et al. Health impact assessment of particulate pollution in Tallinn using fine spatial resolution and modeling techniques. Environ Health 2009; 8: 7-15. http://dx.doi.org/10.1186/1476-069X-8-7</w:t>
      </w:r>
    </w:p>
    <w:p w14:paraId="74A129F8" w14:textId="77777777" w:rsidR="00A8538B" w:rsidRPr="00EA0E56" w:rsidRDefault="00A8538B" w:rsidP="00FB10D2">
      <w:pPr>
        <w:pStyle w:val="a1"/>
        <w:numPr>
          <w:ilvl w:val="0"/>
          <w:numId w:val="6"/>
        </w:numPr>
        <w:bidi w:val="0"/>
        <w:rPr>
          <w:color w:val="000000"/>
          <w:sz w:val="20"/>
        </w:rPr>
      </w:pPr>
      <w:r w:rsidRPr="00EA0E56">
        <w:rPr>
          <w:color w:val="000000"/>
          <w:sz w:val="20"/>
        </w:rPr>
        <w:t>Guo Y, Jia Y, Pan X, Liu L, Wichmann HE. The association between fine particulate air pollution and hospital emergency room visits for cardiovascular diseases in Beijing, China. Sci Total Environ 2009; 407: 4826-30. http://dx.doi.org/10.1016/j.scitotenv.2009.05.022</w:t>
      </w:r>
    </w:p>
    <w:p w14:paraId="65D3F5A9" w14:textId="77777777" w:rsidR="00A8538B" w:rsidRPr="00EA0E56" w:rsidRDefault="00A8538B" w:rsidP="00FB10D2">
      <w:pPr>
        <w:pStyle w:val="a1"/>
        <w:numPr>
          <w:ilvl w:val="0"/>
          <w:numId w:val="6"/>
        </w:numPr>
        <w:bidi w:val="0"/>
        <w:rPr>
          <w:color w:val="000000"/>
          <w:sz w:val="20"/>
        </w:rPr>
      </w:pPr>
      <w:r w:rsidRPr="00EA0E56">
        <w:rPr>
          <w:color w:val="000000"/>
          <w:sz w:val="20"/>
        </w:rPr>
        <w:t>Guo Y, Tong S, Li S, Barnett AG, Yu W, Zhang Y. Gaseous air pollution and emergency hospital visits for hypertension in Beijing, China: a time-stratified case cross over study. Environ Health 2010a; 9: 57-65. http://dx.doi.org/10.1186/1476-069X-9-57</w:t>
      </w:r>
    </w:p>
    <w:p w14:paraId="0F843894" w14:textId="77777777" w:rsidR="00A8538B" w:rsidRPr="00EA0E56" w:rsidRDefault="00A8538B" w:rsidP="00FB10D2">
      <w:pPr>
        <w:pStyle w:val="a1"/>
        <w:numPr>
          <w:ilvl w:val="0"/>
          <w:numId w:val="6"/>
        </w:numPr>
        <w:bidi w:val="0"/>
        <w:rPr>
          <w:color w:val="000000"/>
          <w:sz w:val="20"/>
        </w:rPr>
      </w:pPr>
      <w:r w:rsidRPr="00EA0E56">
        <w:rPr>
          <w:color w:val="000000"/>
          <w:sz w:val="20"/>
        </w:rPr>
        <w:t>Guo Y, Tong S, Zhang Y, Barnett AG, Jia Y, Pan X. The relationship between particulate air pollution and emergency hospital visits for hypertension in Beijing, China. Sci Total Environ 2010b; 408: 4446-50. http://dx.doi.org/10.1016/j.scitotenv.2010.06.042</w:t>
      </w:r>
    </w:p>
    <w:p w14:paraId="5E7B339F" w14:textId="77777777" w:rsidR="00A8538B" w:rsidRPr="00EA0E56" w:rsidRDefault="00A8538B" w:rsidP="00FB10D2">
      <w:pPr>
        <w:pStyle w:val="a1"/>
        <w:numPr>
          <w:ilvl w:val="0"/>
          <w:numId w:val="6"/>
        </w:numPr>
        <w:bidi w:val="0"/>
        <w:rPr>
          <w:color w:val="000000"/>
          <w:sz w:val="20"/>
        </w:rPr>
      </w:pPr>
      <w:r w:rsidRPr="00EA0E56">
        <w:rPr>
          <w:color w:val="000000"/>
          <w:sz w:val="20"/>
        </w:rPr>
        <w:t>Chen R, Pan G, Kan H, Tan J, Song W, Wu Z. Ambient air pollution and daily mortality in Anshan, China: a times tratified case-crossover analysis. Sci Total Environ 2010; 408: 6086-91. http://dx.doi.org/10.1016/j.scitotenv.2010.09.018</w:t>
      </w:r>
    </w:p>
    <w:p w14:paraId="37783AE5" w14:textId="77777777" w:rsidR="00A8538B" w:rsidRPr="00EA0E56" w:rsidRDefault="00A8538B" w:rsidP="00FB10D2">
      <w:pPr>
        <w:pStyle w:val="a1"/>
        <w:numPr>
          <w:ilvl w:val="0"/>
          <w:numId w:val="6"/>
        </w:numPr>
        <w:bidi w:val="0"/>
        <w:rPr>
          <w:color w:val="000000"/>
          <w:sz w:val="20"/>
        </w:rPr>
      </w:pPr>
      <w:r w:rsidRPr="00EA0E56">
        <w:rPr>
          <w:color w:val="000000"/>
          <w:sz w:val="20"/>
        </w:rPr>
        <w:t>Shakour AA, El-Shahat MF, El-Taieb NM, Hassanein MA, Mohamed AMF. Health Impacts of Particulate Matter in Greater Cairo, Egypt. J Am Sci 2011; 7: 9-15.</w:t>
      </w:r>
    </w:p>
    <w:p w14:paraId="1A783EC2" w14:textId="77777777" w:rsidR="00A8538B" w:rsidRPr="00EA0E56" w:rsidRDefault="00A8538B" w:rsidP="00FB10D2">
      <w:pPr>
        <w:pStyle w:val="a1"/>
        <w:numPr>
          <w:ilvl w:val="0"/>
          <w:numId w:val="6"/>
        </w:numPr>
        <w:bidi w:val="0"/>
        <w:rPr>
          <w:color w:val="000000"/>
          <w:sz w:val="20"/>
        </w:rPr>
      </w:pPr>
      <w:r w:rsidRPr="00EA0E56">
        <w:rPr>
          <w:color w:val="000000"/>
          <w:sz w:val="20"/>
        </w:rPr>
        <w:lastRenderedPageBreak/>
        <w:t>USEPA (United States Environmental Protection Agency). The benefits and costs of the Clean Air Act, 1970-1990. EPA-410-R-97-002, United States Environmental Protection Agency Office of Air and Radiation Policy, 1997. (http://www.epa.gov/airprogm/oar/sect812/, accessed 11/02/20130).</w:t>
      </w:r>
    </w:p>
    <w:p w14:paraId="120C4A9B" w14:textId="77777777" w:rsidR="00A8538B" w:rsidRPr="00EA0E56" w:rsidRDefault="00A8538B" w:rsidP="00FB10D2">
      <w:pPr>
        <w:pStyle w:val="a1"/>
        <w:numPr>
          <w:ilvl w:val="0"/>
          <w:numId w:val="6"/>
        </w:numPr>
        <w:bidi w:val="0"/>
        <w:rPr>
          <w:color w:val="000000"/>
          <w:sz w:val="20"/>
        </w:rPr>
      </w:pPr>
      <w:r w:rsidRPr="00EA0E56">
        <w:rPr>
          <w:color w:val="000000"/>
          <w:sz w:val="20"/>
        </w:rPr>
        <w:t>Chen C, Chen D, Green C, Wu C. Benefits of expanded use of natural gas for pollutant reduction and health improvement in Shanghai. Sino Sphere J 2002; 5(2): 58-64.</w:t>
      </w:r>
    </w:p>
    <w:p w14:paraId="7C96E3A3" w14:textId="77777777" w:rsidR="00A8538B" w:rsidRPr="00EA0E56" w:rsidRDefault="00A8538B" w:rsidP="00FB10D2">
      <w:pPr>
        <w:pStyle w:val="a1"/>
        <w:numPr>
          <w:ilvl w:val="0"/>
          <w:numId w:val="6"/>
        </w:numPr>
        <w:bidi w:val="0"/>
        <w:rPr>
          <w:color w:val="000000"/>
          <w:sz w:val="20"/>
        </w:rPr>
      </w:pPr>
      <w:r w:rsidRPr="00EA0E56">
        <w:rPr>
          <w:color w:val="000000"/>
          <w:sz w:val="20"/>
        </w:rPr>
        <w:t xml:space="preserve">Afroz R, Hassan MN, Ibrahim NA. Review of air pollution and health impacts in Malaysia. Environ Res 2003; 92: 71-77. </w:t>
      </w:r>
      <w:hyperlink r:id="rId24" w:history="1">
        <w:r w:rsidRPr="00EA0E56">
          <w:rPr>
            <w:color w:val="000000"/>
            <w:sz w:val="20"/>
          </w:rPr>
          <w:t>http://dx.doi.org/10.1016/S0013-9351(02)00059-2</w:t>
        </w:r>
      </w:hyperlink>
      <w:r w:rsidRPr="00EA0E56">
        <w:rPr>
          <w:color w:val="000000"/>
          <w:sz w:val="20"/>
        </w:rPr>
        <w:t xml:space="preserve"> </w:t>
      </w:r>
    </w:p>
    <w:p w14:paraId="43A7E16C" w14:textId="77777777" w:rsidR="00A8538B" w:rsidRPr="00EA0E56" w:rsidRDefault="00A8538B" w:rsidP="00FB10D2">
      <w:pPr>
        <w:pStyle w:val="a1"/>
        <w:numPr>
          <w:ilvl w:val="0"/>
          <w:numId w:val="6"/>
        </w:numPr>
        <w:bidi w:val="0"/>
        <w:rPr>
          <w:color w:val="000000"/>
          <w:sz w:val="20"/>
          <w:rtl/>
        </w:rPr>
      </w:pPr>
      <w:r w:rsidRPr="00EA0E56">
        <w:rPr>
          <w:color w:val="000000"/>
          <w:sz w:val="20"/>
        </w:rPr>
        <w:t xml:space="preserve">Fattore E, Paiano V, Borgini A, Tittarelli A, Bertoldi M, Crosignani P, Fanelli R. Human health risk in relation to air quality in two municipalities in an industrialized area of Northern Italy. Environ Res 2011; 111: 1321-7. </w:t>
      </w:r>
      <w:hyperlink r:id="rId25" w:history="1">
        <w:r w:rsidRPr="00EA0E56">
          <w:rPr>
            <w:color w:val="000000"/>
            <w:sz w:val="20"/>
          </w:rPr>
          <w:t>http://dx.doi.org/10.1016/j.envres.2011.06.012</w:t>
        </w:r>
      </w:hyperlink>
      <w:r w:rsidRPr="00EA0E56">
        <w:rPr>
          <w:rFonts w:hint="cs"/>
          <w:color w:val="000000"/>
          <w:sz w:val="20"/>
          <w:rtl/>
        </w:rPr>
        <w:t>.</w:t>
      </w:r>
    </w:p>
    <w:p w14:paraId="2E7D3E98" w14:textId="7A48D81F" w:rsidR="002D36A7" w:rsidRPr="00123AA0" w:rsidRDefault="002D36A7" w:rsidP="00A8538B"/>
    <w:sectPr w:rsidR="002D36A7" w:rsidRPr="00123AA0" w:rsidSect="0005244F">
      <w:footerReference w:type="even" r:id="rId26"/>
      <w:footerReference w:type="default" r:id="rId27"/>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253D7" w14:textId="77777777" w:rsidR="00FB10D2" w:rsidRPr="00EA0E56" w:rsidRDefault="00FB10D2" w:rsidP="00626B40">
      <w:pPr>
        <w:pStyle w:val="a1"/>
        <w:rPr>
          <w:rFonts w:ascii="Calibri" w:hAnsi="Calibri" w:cs="Arial"/>
        </w:rPr>
      </w:pPr>
      <w:r>
        <w:separator/>
      </w:r>
    </w:p>
  </w:endnote>
  <w:endnote w:type="continuationSeparator" w:id="0">
    <w:p w14:paraId="5F86D977" w14:textId="77777777" w:rsidR="00FB10D2" w:rsidRPr="00EA0E56" w:rsidRDefault="00FB10D2"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Hacen Liner Print-out Light">
    <w:altName w:val="Times New Roman"/>
    <w:charset w:val="00"/>
    <w:family w:val="auto"/>
    <w:pitch w:val="variable"/>
    <w:sig w:usb0="00002003" w:usb1="00000000" w:usb2="00000000" w:usb3="00000000" w:csb0="00000041" w:csb1="00000000"/>
  </w:font>
  <w:font w:name="GE SS Two Light">
    <w:altName w:val="Sakkal Majalla"/>
    <w:panose1 w:val="00000000000000000000"/>
    <w:charset w:val="B2"/>
    <w:family w:val="roman"/>
    <w:notTrueType/>
    <w:pitch w:val="variable"/>
    <w:sig w:usb0="00002000"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Hacen Liner XXL">
    <w:altName w:val="Times New Roman"/>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EFF" w:usb1="C000785B" w:usb2="00000009" w:usb3="00000000" w:csb0="000001FF" w:csb1="00000000"/>
  </w:font>
  <w:font w:name="Sultan normal">
    <w:altName w:val="Arial"/>
    <w:charset w:val="B2"/>
    <w:family w:val="auto"/>
    <w:pitch w:val="variable"/>
    <w:sig w:usb0="00002001" w:usb1="00000000" w:usb2="00000000" w:usb3="00000000" w:csb0="00000040" w:csb1="00000000"/>
  </w:font>
  <w:font w:name="SC_SHARJAH">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Lotus Linotype">
    <w:altName w:val="Times New Roman"/>
    <w:charset w:val="00"/>
    <w:family w:val="auto"/>
    <w:pitch w:val="variable"/>
    <w:sig w:usb0="00002007" w:usb1="80000000" w:usb2="00000008" w:usb3="00000000" w:csb0="00000043" w:csb1="00000000"/>
  </w:font>
  <w:font w:name="Adobe Garamond Pro Bold">
    <w:panose1 w:val="00000000000000000000"/>
    <w:charset w:val="00"/>
    <w:family w:val="roman"/>
    <w:notTrueType/>
    <w:pitch w:val="variable"/>
    <w:sig w:usb0="800000AF" w:usb1="5000205B" w:usb2="00000000" w:usb3="00000000" w:csb0="0000009B" w:csb1="00000000"/>
  </w:font>
  <w:font w:name="Univers LT Std 45 Light">
    <w:altName w:val="Arial"/>
    <w:panose1 w:val="00000000000000000000"/>
    <w:charset w:val="00"/>
    <w:family w:val="swiss"/>
    <w:notTrueType/>
    <w:pitch w:val="default"/>
    <w:sig w:usb0="00000003" w:usb1="00000000" w:usb2="00000000" w:usb3="00000000" w:csb0="00000001" w:csb1="00000000"/>
  </w:font>
  <w:font w:name="Adobe Garamond Pro">
    <w:panose1 w:val="00000000000000000000"/>
    <w:charset w:val="00"/>
    <w:family w:val="roman"/>
    <w:notTrueType/>
    <w:pitch w:val="variable"/>
    <w:sig w:usb0="800000AF" w:usb1="5000205B" w:usb2="00000000" w:usb3="00000000" w:csb0="0000009B" w:csb1="00000000"/>
  </w:font>
  <w:font w:name="Fanan">
    <w:altName w:val="Times New Roman"/>
    <w:charset w:val="B2"/>
    <w:family w:val="auto"/>
    <w:pitch w:val="variable"/>
    <w:sig w:usb0="00002000"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597EE1" w:rsidRPr="00EA0E56" w14:paraId="0C95ACE1" w14:textId="77777777" w:rsidTr="005B4EF5">
      <w:trPr>
        <w:trHeight w:val="278"/>
      </w:trPr>
      <w:tc>
        <w:tcPr>
          <w:tcW w:w="850" w:type="dxa"/>
          <w:tcBorders>
            <w:top w:val="dotted" w:sz="4" w:space="0" w:color="auto"/>
            <w:left w:val="nil"/>
            <w:bottom w:val="nil"/>
            <w:right w:val="nil"/>
          </w:tcBorders>
          <w:shd w:val="clear" w:color="auto" w:fill="000000"/>
          <w:vAlign w:val="center"/>
        </w:tcPr>
        <w:p w14:paraId="71647CB0"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37106F96" w14:textId="77777777" w:rsidR="00597EE1" w:rsidRPr="00335582" w:rsidRDefault="00597EE1"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6515EFFB" w14:textId="77777777" w:rsidR="00597EE1" w:rsidRDefault="00597EE1"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597EE1" w:rsidRPr="00EA0E56" w14:paraId="291FA1C6" w14:textId="77777777" w:rsidTr="005B4EF5">
      <w:trPr>
        <w:trHeight w:val="278"/>
      </w:trPr>
      <w:tc>
        <w:tcPr>
          <w:tcW w:w="7455" w:type="dxa"/>
          <w:tcBorders>
            <w:top w:val="dotted" w:sz="4" w:space="0" w:color="auto"/>
            <w:left w:val="nil"/>
            <w:bottom w:val="nil"/>
            <w:right w:val="nil"/>
          </w:tcBorders>
          <w:shd w:val="clear" w:color="auto" w:fill="auto"/>
          <w:vAlign w:val="center"/>
        </w:tcPr>
        <w:p w14:paraId="5AF21744" w14:textId="77777777" w:rsidR="00597EE1" w:rsidRPr="00335582" w:rsidRDefault="00597EE1"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14735F67"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1</w:t>
          </w:r>
          <w:r w:rsidRPr="00EA0E56">
            <w:rPr>
              <w:rtl/>
            </w:rPr>
            <w:fldChar w:fldCharType="end"/>
          </w:r>
        </w:p>
      </w:tc>
    </w:tr>
  </w:tbl>
  <w:p w14:paraId="3D8DFAFA" w14:textId="77777777" w:rsidR="00597EE1" w:rsidRDefault="00597EE1"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AB3E32" w14:textId="77777777" w:rsidR="00FB10D2" w:rsidRPr="00EA0E56" w:rsidRDefault="00FB10D2" w:rsidP="00626B40">
      <w:pPr>
        <w:pStyle w:val="a1"/>
        <w:rPr>
          <w:rFonts w:ascii="Calibri" w:hAnsi="Calibri" w:cs="Arial"/>
        </w:rPr>
      </w:pPr>
      <w:r>
        <w:separator/>
      </w:r>
    </w:p>
  </w:footnote>
  <w:footnote w:type="continuationSeparator" w:id="0">
    <w:p w14:paraId="32F31677" w14:textId="77777777" w:rsidR="00FB10D2" w:rsidRPr="00EA0E56" w:rsidRDefault="00FB10D2" w:rsidP="00626B40">
      <w:pPr>
        <w:pStyle w:val="a1"/>
        <w:rPr>
          <w:rFonts w:ascii="Calibri" w:hAnsi="Calibri" w:cs="Aria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2A7278"/>
    <w:multiLevelType w:val="hybridMultilevel"/>
    <w:tmpl w:val="4AA29450"/>
    <w:lvl w:ilvl="0" w:tplc="8920FA88">
      <w:start w:val="1"/>
      <w:numFmt w:val="decimal"/>
      <w:lvlText w:val="%1."/>
      <w:lvlJc w:val="left"/>
      <w:pPr>
        <w:ind w:left="360" w:hanging="360"/>
      </w:pPr>
      <w:rPr>
        <w:rFonts w:hint="default"/>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0A82F70"/>
    <w:multiLevelType w:val="hybridMultilevel"/>
    <w:tmpl w:val="2A0461D2"/>
    <w:lvl w:ilvl="0" w:tplc="8920FA88">
      <w:start w:val="1"/>
      <w:numFmt w:val="decimal"/>
      <w:lvlText w:val="%1."/>
      <w:lvlJc w:val="left"/>
      <w:pPr>
        <w:ind w:left="360"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 w:numId="6">
    <w:abstractNumId w:val="5"/>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13BCF"/>
    <w:rsid w:val="00016733"/>
    <w:rsid w:val="000201A4"/>
    <w:rsid w:val="00023591"/>
    <w:rsid w:val="00023933"/>
    <w:rsid w:val="00027967"/>
    <w:rsid w:val="000332BD"/>
    <w:rsid w:val="000449BC"/>
    <w:rsid w:val="000454C3"/>
    <w:rsid w:val="0005244F"/>
    <w:rsid w:val="00056C03"/>
    <w:rsid w:val="00066C22"/>
    <w:rsid w:val="00071728"/>
    <w:rsid w:val="00072DE1"/>
    <w:rsid w:val="0007594C"/>
    <w:rsid w:val="000820BE"/>
    <w:rsid w:val="00083312"/>
    <w:rsid w:val="00097D3B"/>
    <w:rsid w:val="000A1BFB"/>
    <w:rsid w:val="000B413E"/>
    <w:rsid w:val="000C0F82"/>
    <w:rsid w:val="000C23EA"/>
    <w:rsid w:val="000D65D3"/>
    <w:rsid w:val="000D7108"/>
    <w:rsid w:val="000E26EC"/>
    <w:rsid w:val="000E64A8"/>
    <w:rsid w:val="000F4BD2"/>
    <w:rsid w:val="000F56C1"/>
    <w:rsid w:val="000F7576"/>
    <w:rsid w:val="001109EB"/>
    <w:rsid w:val="00122D65"/>
    <w:rsid w:val="00123AA0"/>
    <w:rsid w:val="00130D1E"/>
    <w:rsid w:val="001342A1"/>
    <w:rsid w:val="00137CEE"/>
    <w:rsid w:val="00140998"/>
    <w:rsid w:val="00141C71"/>
    <w:rsid w:val="001449C2"/>
    <w:rsid w:val="00146289"/>
    <w:rsid w:val="00147A70"/>
    <w:rsid w:val="00147DB0"/>
    <w:rsid w:val="001554DE"/>
    <w:rsid w:val="001558DD"/>
    <w:rsid w:val="00157E88"/>
    <w:rsid w:val="001649B8"/>
    <w:rsid w:val="00171CC3"/>
    <w:rsid w:val="0017305D"/>
    <w:rsid w:val="001779EC"/>
    <w:rsid w:val="00184117"/>
    <w:rsid w:val="00192245"/>
    <w:rsid w:val="001925C5"/>
    <w:rsid w:val="001966C0"/>
    <w:rsid w:val="001A43FE"/>
    <w:rsid w:val="001B355D"/>
    <w:rsid w:val="001B5C18"/>
    <w:rsid w:val="001C0C72"/>
    <w:rsid w:val="001D5A54"/>
    <w:rsid w:val="001D64AB"/>
    <w:rsid w:val="001D666A"/>
    <w:rsid w:val="001E03F4"/>
    <w:rsid w:val="001E059C"/>
    <w:rsid w:val="001F133C"/>
    <w:rsid w:val="001F3D7A"/>
    <w:rsid w:val="001F5852"/>
    <w:rsid w:val="00200B0B"/>
    <w:rsid w:val="002064B0"/>
    <w:rsid w:val="00236A44"/>
    <w:rsid w:val="0024122A"/>
    <w:rsid w:val="002425DD"/>
    <w:rsid w:val="00251DC0"/>
    <w:rsid w:val="002550D2"/>
    <w:rsid w:val="0025614B"/>
    <w:rsid w:val="002608CF"/>
    <w:rsid w:val="00260B4C"/>
    <w:rsid w:val="00266B51"/>
    <w:rsid w:val="00266E93"/>
    <w:rsid w:val="00271974"/>
    <w:rsid w:val="002724D6"/>
    <w:rsid w:val="0027355F"/>
    <w:rsid w:val="00273FB3"/>
    <w:rsid w:val="002814E3"/>
    <w:rsid w:val="00281A53"/>
    <w:rsid w:val="00281C03"/>
    <w:rsid w:val="00287419"/>
    <w:rsid w:val="00287723"/>
    <w:rsid w:val="002929A0"/>
    <w:rsid w:val="002947D6"/>
    <w:rsid w:val="00297784"/>
    <w:rsid w:val="002A74A5"/>
    <w:rsid w:val="002A7AEB"/>
    <w:rsid w:val="002B41D1"/>
    <w:rsid w:val="002C08FF"/>
    <w:rsid w:val="002C2C2A"/>
    <w:rsid w:val="002C3303"/>
    <w:rsid w:val="002C7627"/>
    <w:rsid w:val="002D21A1"/>
    <w:rsid w:val="002D36A7"/>
    <w:rsid w:val="002D4042"/>
    <w:rsid w:val="002D562B"/>
    <w:rsid w:val="002E0A46"/>
    <w:rsid w:val="002E1757"/>
    <w:rsid w:val="002E66CD"/>
    <w:rsid w:val="002E6829"/>
    <w:rsid w:val="00304D1B"/>
    <w:rsid w:val="00304D45"/>
    <w:rsid w:val="00305688"/>
    <w:rsid w:val="00312B72"/>
    <w:rsid w:val="00317595"/>
    <w:rsid w:val="00325EA0"/>
    <w:rsid w:val="00325F11"/>
    <w:rsid w:val="0032671B"/>
    <w:rsid w:val="00326D6A"/>
    <w:rsid w:val="00330E90"/>
    <w:rsid w:val="00332969"/>
    <w:rsid w:val="0033506F"/>
    <w:rsid w:val="003354D1"/>
    <w:rsid w:val="00335582"/>
    <w:rsid w:val="0034567E"/>
    <w:rsid w:val="00346945"/>
    <w:rsid w:val="0035105F"/>
    <w:rsid w:val="00352688"/>
    <w:rsid w:val="00353970"/>
    <w:rsid w:val="0035505B"/>
    <w:rsid w:val="0036260F"/>
    <w:rsid w:val="00364C0C"/>
    <w:rsid w:val="0038053E"/>
    <w:rsid w:val="00381AB1"/>
    <w:rsid w:val="00387DD7"/>
    <w:rsid w:val="0039225F"/>
    <w:rsid w:val="00393BD1"/>
    <w:rsid w:val="003A4374"/>
    <w:rsid w:val="003A4BD9"/>
    <w:rsid w:val="003B267C"/>
    <w:rsid w:val="003C1298"/>
    <w:rsid w:val="003C48C6"/>
    <w:rsid w:val="003D084D"/>
    <w:rsid w:val="003D55FC"/>
    <w:rsid w:val="003E04A6"/>
    <w:rsid w:val="003E0ED6"/>
    <w:rsid w:val="003E6AA1"/>
    <w:rsid w:val="003F3F10"/>
    <w:rsid w:val="003F4EC6"/>
    <w:rsid w:val="00411348"/>
    <w:rsid w:val="00415922"/>
    <w:rsid w:val="004159DB"/>
    <w:rsid w:val="00415D8E"/>
    <w:rsid w:val="004164BD"/>
    <w:rsid w:val="004164C6"/>
    <w:rsid w:val="0042174B"/>
    <w:rsid w:val="00424006"/>
    <w:rsid w:val="00430000"/>
    <w:rsid w:val="004302F0"/>
    <w:rsid w:val="00430D5C"/>
    <w:rsid w:val="00431DE1"/>
    <w:rsid w:val="004348B6"/>
    <w:rsid w:val="0044028F"/>
    <w:rsid w:val="004600CF"/>
    <w:rsid w:val="0046215D"/>
    <w:rsid w:val="00471D6C"/>
    <w:rsid w:val="00476CFE"/>
    <w:rsid w:val="004770F7"/>
    <w:rsid w:val="004801F6"/>
    <w:rsid w:val="00483349"/>
    <w:rsid w:val="00486492"/>
    <w:rsid w:val="004879B9"/>
    <w:rsid w:val="00496136"/>
    <w:rsid w:val="00497E5E"/>
    <w:rsid w:val="004A1697"/>
    <w:rsid w:val="004A566B"/>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00D38"/>
    <w:rsid w:val="005101E6"/>
    <w:rsid w:val="005207F1"/>
    <w:rsid w:val="00521B22"/>
    <w:rsid w:val="005241E3"/>
    <w:rsid w:val="00524D3A"/>
    <w:rsid w:val="0053202B"/>
    <w:rsid w:val="00535B71"/>
    <w:rsid w:val="00537333"/>
    <w:rsid w:val="00543574"/>
    <w:rsid w:val="00543E98"/>
    <w:rsid w:val="00544E69"/>
    <w:rsid w:val="00545E26"/>
    <w:rsid w:val="00554CEB"/>
    <w:rsid w:val="00556FD6"/>
    <w:rsid w:val="00557364"/>
    <w:rsid w:val="00557513"/>
    <w:rsid w:val="00571A42"/>
    <w:rsid w:val="005765F2"/>
    <w:rsid w:val="00587DAD"/>
    <w:rsid w:val="0059128B"/>
    <w:rsid w:val="00592A8C"/>
    <w:rsid w:val="00597EE1"/>
    <w:rsid w:val="005A4A99"/>
    <w:rsid w:val="005B4EF5"/>
    <w:rsid w:val="005C0E44"/>
    <w:rsid w:val="005C3FD9"/>
    <w:rsid w:val="005C5D00"/>
    <w:rsid w:val="005C654C"/>
    <w:rsid w:val="005D2293"/>
    <w:rsid w:val="005D5305"/>
    <w:rsid w:val="005D7AE2"/>
    <w:rsid w:val="005D7ED4"/>
    <w:rsid w:val="005E18B4"/>
    <w:rsid w:val="005F18F5"/>
    <w:rsid w:val="005F61DC"/>
    <w:rsid w:val="005F6608"/>
    <w:rsid w:val="005F6889"/>
    <w:rsid w:val="005F6E95"/>
    <w:rsid w:val="005F7992"/>
    <w:rsid w:val="005F7DDF"/>
    <w:rsid w:val="00611C80"/>
    <w:rsid w:val="00613433"/>
    <w:rsid w:val="006166D7"/>
    <w:rsid w:val="00617ABF"/>
    <w:rsid w:val="00620605"/>
    <w:rsid w:val="00622E0F"/>
    <w:rsid w:val="00626B40"/>
    <w:rsid w:val="00626D17"/>
    <w:rsid w:val="006319D3"/>
    <w:rsid w:val="00631C25"/>
    <w:rsid w:val="0064092C"/>
    <w:rsid w:val="00640C57"/>
    <w:rsid w:val="00644F35"/>
    <w:rsid w:val="006517B5"/>
    <w:rsid w:val="0065730E"/>
    <w:rsid w:val="00667055"/>
    <w:rsid w:val="006737CF"/>
    <w:rsid w:val="00674CBF"/>
    <w:rsid w:val="00675202"/>
    <w:rsid w:val="00684E78"/>
    <w:rsid w:val="00697943"/>
    <w:rsid w:val="006A0CBF"/>
    <w:rsid w:val="006A3C29"/>
    <w:rsid w:val="006B004D"/>
    <w:rsid w:val="006B5F36"/>
    <w:rsid w:val="006C2293"/>
    <w:rsid w:val="006C512D"/>
    <w:rsid w:val="006D66F4"/>
    <w:rsid w:val="006E00A5"/>
    <w:rsid w:val="006E5F7B"/>
    <w:rsid w:val="006F6A4D"/>
    <w:rsid w:val="006F7753"/>
    <w:rsid w:val="007003D1"/>
    <w:rsid w:val="007045BB"/>
    <w:rsid w:val="00705364"/>
    <w:rsid w:val="0071698F"/>
    <w:rsid w:val="00720AE3"/>
    <w:rsid w:val="00724DEE"/>
    <w:rsid w:val="007273A3"/>
    <w:rsid w:val="00732018"/>
    <w:rsid w:val="00733BC8"/>
    <w:rsid w:val="00740606"/>
    <w:rsid w:val="00740E43"/>
    <w:rsid w:val="00750023"/>
    <w:rsid w:val="00756804"/>
    <w:rsid w:val="0076325F"/>
    <w:rsid w:val="0076432D"/>
    <w:rsid w:val="00764B3F"/>
    <w:rsid w:val="007702DE"/>
    <w:rsid w:val="00783FED"/>
    <w:rsid w:val="00785D5C"/>
    <w:rsid w:val="00797273"/>
    <w:rsid w:val="007A06A5"/>
    <w:rsid w:val="007B1612"/>
    <w:rsid w:val="007B3300"/>
    <w:rsid w:val="007C1AE2"/>
    <w:rsid w:val="007C3B95"/>
    <w:rsid w:val="007D05CD"/>
    <w:rsid w:val="007D43F5"/>
    <w:rsid w:val="007D4548"/>
    <w:rsid w:val="007D667A"/>
    <w:rsid w:val="007E522B"/>
    <w:rsid w:val="007E6A1D"/>
    <w:rsid w:val="007E6FA3"/>
    <w:rsid w:val="007F58AE"/>
    <w:rsid w:val="007F7620"/>
    <w:rsid w:val="008031BC"/>
    <w:rsid w:val="0080577E"/>
    <w:rsid w:val="0080778E"/>
    <w:rsid w:val="00811164"/>
    <w:rsid w:val="0083167C"/>
    <w:rsid w:val="00831A8F"/>
    <w:rsid w:val="00833191"/>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D6706"/>
    <w:rsid w:val="008E1158"/>
    <w:rsid w:val="008F1DC7"/>
    <w:rsid w:val="008F5366"/>
    <w:rsid w:val="008F6694"/>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501A5"/>
    <w:rsid w:val="00951FF9"/>
    <w:rsid w:val="00953FF1"/>
    <w:rsid w:val="009553E7"/>
    <w:rsid w:val="00955495"/>
    <w:rsid w:val="0096580D"/>
    <w:rsid w:val="00965A8D"/>
    <w:rsid w:val="0096723A"/>
    <w:rsid w:val="0098063C"/>
    <w:rsid w:val="009825BE"/>
    <w:rsid w:val="00982B56"/>
    <w:rsid w:val="00991731"/>
    <w:rsid w:val="00991E59"/>
    <w:rsid w:val="0099249E"/>
    <w:rsid w:val="00994720"/>
    <w:rsid w:val="00994CBF"/>
    <w:rsid w:val="00997EDE"/>
    <w:rsid w:val="009A7A72"/>
    <w:rsid w:val="009B1B6B"/>
    <w:rsid w:val="009B20BF"/>
    <w:rsid w:val="009C4E0F"/>
    <w:rsid w:val="009D08B9"/>
    <w:rsid w:val="009D5A3B"/>
    <w:rsid w:val="009D5B28"/>
    <w:rsid w:val="009F2311"/>
    <w:rsid w:val="009F5AA7"/>
    <w:rsid w:val="00A04011"/>
    <w:rsid w:val="00A15DED"/>
    <w:rsid w:val="00A1724B"/>
    <w:rsid w:val="00A244E3"/>
    <w:rsid w:val="00A25DDF"/>
    <w:rsid w:val="00A31102"/>
    <w:rsid w:val="00A365A6"/>
    <w:rsid w:val="00A40BA1"/>
    <w:rsid w:val="00A421BD"/>
    <w:rsid w:val="00A450D4"/>
    <w:rsid w:val="00A5284A"/>
    <w:rsid w:val="00A5597B"/>
    <w:rsid w:val="00A61700"/>
    <w:rsid w:val="00A75212"/>
    <w:rsid w:val="00A75AA2"/>
    <w:rsid w:val="00A80E5C"/>
    <w:rsid w:val="00A820A2"/>
    <w:rsid w:val="00A8538B"/>
    <w:rsid w:val="00A868F8"/>
    <w:rsid w:val="00A87D42"/>
    <w:rsid w:val="00AA54E5"/>
    <w:rsid w:val="00AA66CF"/>
    <w:rsid w:val="00AB64AE"/>
    <w:rsid w:val="00AB7DD2"/>
    <w:rsid w:val="00AC2957"/>
    <w:rsid w:val="00AC6875"/>
    <w:rsid w:val="00AD01B3"/>
    <w:rsid w:val="00AD3D96"/>
    <w:rsid w:val="00AD48D7"/>
    <w:rsid w:val="00AD49B3"/>
    <w:rsid w:val="00AE2A6D"/>
    <w:rsid w:val="00AE4535"/>
    <w:rsid w:val="00AF0BBB"/>
    <w:rsid w:val="00AF3BC7"/>
    <w:rsid w:val="00AF6795"/>
    <w:rsid w:val="00AF74A3"/>
    <w:rsid w:val="00B00BA1"/>
    <w:rsid w:val="00B07245"/>
    <w:rsid w:val="00B074F1"/>
    <w:rsid w:val="00B144D7"/>
    <w:rsid w:val="00B4048B"/>
    <w:rsid w:val="00B47537"/>
    <w:rsid w:val="00B50524"/>
    <w:rsid w:val="00B526E2"/>
    <w:rsid w:val="00B535D6"/>
    <w:rsid w:val="00B53A0D"/>
    <w:rsid w:val="00B63172"/>
    <w:rsid w:val="00B65B13"/>
    <w:rsid w:val="00B77B0E"/>
    <w:rsid w:val="00B815E4"/>
    <w:rsid w:val="00B913FB"/>
    <w:rsid w:val="00B9397C"/>
    <w:rsid w:val="00B946CC"/>
    <w:rsid w:val="00BA19F9"/>
    <w:rsid w:val="00BA4382"/>
    <w:rsid w:val="00BA761F"/>
    <w:rsid w:val="00BB5539"/>
    <w:rsid w:val="00BC59BD"/>
    <w:rsid w:val="00BC68BC"/>
    <w:rsid w:val="00BD2629"/>
    <w:rsid w:val="00BE0F87"/>
    <w:rsid w:val="00BE60B1"/>
    <w:rsid w:val="00BF0145"/>
    <w:rsid w:val="00BF39AE"/>
    <w:rsid w:val="00BF6954"/>
    <w:rsid w:val="00C078F0"/>
    <w:rsid w:val="00C1203B"/>
    <w:rsid w:val="00C16284"/>
    <w:rsid w:val="00C1752B"/>
    <w:rsid w:val="00C21A61"/>
    <w:rsid w:val="00C27A61"/>
    <w:rsid w:val="00C306E3"/>
    <w:rsid w:val="00C30C9D"/>
    <w:rsid w:val="00C33CC6"/>
    <w:rsid w:val="00C34CDC"/>
    <w:rsid w:val="00C357D3"/>
    <w:rsid w:val="00C403E7"/>
    <w:rsid w:val="00C40830"/>
    <w:rsid w:val="00C4662C"/>
    <w:rsid w:val="00C5174F"/>
    <w:rsid w:val="00C51A88"/>
    <w:rsid w:val="00C539F0"/>
    <w:rsid w:val="00C547B5"/>
    <w:rsid w:val="00C63883"/>
    <w:rsid w:val="00C65388"/>
    <w:rsid w:val="00C668A6"/>
    <w:rsid w:val="00C76FB3"/>
    <w:rsid w:val="00C84EDC"/>
    <w:rsid w:val="00C92C07"/>
    <w:rsid w:val="00C93CEC"/>
    <w:rsid w:val="00C95F86"/>
    <w:rsid w:val="00CA0DC8"/>
    <w:rsid w:val="00CA1A70"/>
    <w:rsid w:val="00CA38AA"/>
    <w:rsid w:val="00CA6753"/>
    <w:rsid w:val="00CB6883"/>
    <w:rsid w:val="00CC1C58"/>
    <w:rsid w:val="00CD1191"/>
    <w:rsid w:val="00CD2437"/>
    <w:rsid w:val="00CD46AF"/>
    <w:rsid w:val="00CE0ADF"/>
    <w:rsid w:val="00CE49E3"/>
    <w:rsid w:val="00CF010B"/>
    <w:rsid w:val="00CF28D2"/>
    <w:rsid w:val="00CF6112"/>
    <w:rsid w:val="00D170D3"/>
    <w:rsid w:val="00D22402"/>
    <w:rsid w:val="00D22612"/>
    <w:rsid w:val="00D22C31"/>
    <w:rsid w:val="00D2460E"/>
    <w:rsid w:val="00D264B1"/>
    <w:rsid w:val="00D37F96"/>
    <w:rsid w:val="00D40125"/>
    <w:rsid w:val="00D530DB"/>
    <w:rsid w:val="00D63074"/>
    <w:rsid w:val="00D670C5"/>
    <w:rsid w:val="00D75597"/>
    <w:rsid w:val="00D758B5"/>
    <w:rsid w:val="00D75FA2"/>
    <w:rsid w:val="00D76852"/>
    <w:rsid w:val="00D77046"/>
    <w:rsid w:val="00D86A6D"/>
    <w:rsid w:val="00D904AF"/>
    <w:rsid w:val="00D9243B"/>
    <w:rsid w:val="00D95CA8"/>
    <w:rsid w:val="00D9798A"/>
    <w:rsid w:val="00D97BAA"/>
    <w:rsid w:val="00DA591E"/>
    <w:rsid w:val="00DB0049"/>
    <w:rsid w:val="00DB2FB9"/>
    <w:rsid w:val="00DB4216"/>
    <w:rsid w:val="00DB77C9"/>
    <w:rsid w:val="00DB785A"/>
    <w:rsid w:val="00DC00B1"/>
    <w:rsid w:val="00DC32BA"/>
    <w:rsid w:val="00DC3EF0"/>
    <w:rsid w:val="00DC4697"/>
    <w:rsid w:val="00DC49AC"/>
    <w:rsid w:val="00DD08A9"/>
    <w:rsid w:val="00DD39D4"/>
    <w:rsid w:val="00DD58D4"/>
    <w:rsid w:val="00DD62A0"/>
    <w:rsid w:val="00DE456E"/>
    <w:rsid w:val="00DE5449"/>
    <w:rsid w:val="00DF326E"/>
    <w:rsid w:val="00DF7069"/>
    <w:rsid w:val="00E01CBD"/>
    <w:rsid w:val="00E04878"/>
    <w:rsid w:val="00E12FD6"/>
    <w:rsid w:val="00E1302B"/>
    <w:rsid w:val="00E17C92"/>
    <w:rsid w:val="00E2044A"/>
    <w:rsid w:val="00E23BAC"/>
    <w:rsid w:val="00E37C74"/>
    <w:rsid w:val="00E409A7"/>
    <w:rsid w:val="00E40E46"/>
    <w:rsid w:val="00E45F96"/>
    <w:rsid w:val="00E56627"/>
    <w:rsid w:val="00E61F7E"/>
    <w:rsid w:val="00E6350B"/>
    <w:rsid w:val="00E64265"/>
    <w:rsid w:val="00E6792D"/>
    <w:rsid w:val="00E71833"/>
    <w:rsid w:val="00E72DA9"/>
    <w:rsid w:val="00E75797"/>
    <w:rsid w:val="00E80E07"/>
    <w:rsid w:val="00E82A81"/>
    <w:rsid w:val="00E83152"/>
    <w:rsid w:val="00E90E51"/>
    <w:rsid w:val="00E97EAD"/>
    <w:rsid w:val="00EA0E56"/>
    <w:rsid w:val="00EA360E"/>
    <w:rsid w:val="00EA5D85"/>
    <w:rsid w:val="00EB4DF1"/>
    <w:rsid w:val="00EB6F48"/>
    <w:rsid w:val="00ED1723"/>
    <w:rsid w:val="00ED3D31"/>
    <w:rsid w:val="00ED7E7C"/>
    <w:rsid w:val="00EE3202"/>
    <w:rsid w:val="00EE67FE"/>
    <w:rsid w:val="00EE6A1F"/>
    <w:rsid w:val="00EE7BA9"/>
    <w:rsid w:val="00F04F7A"/>
    <w:rsid w:val="00F13A57"/>
    <w:rsid w:val="00F15E41"/>
    <w:rsid w:val="00F172BF"/>
    <w:rsid w:val="00F20A2F"/>
    <w:rsid w:val="00F221FA"/>
    <w:rsid w:val="00F22E36"/>
    <w:rsid w:val="00F352E2"/>
    <w:rsid w:val="00F47115"/>
    <w:rsid w:val="00F47223"/>
    <w:rsid w:val="00F5105B"/>
    <w:rsid w:val="00F53FBA"/>
    <w:rsid w:val="00F55942"/>
    <w:rsid w:val="00F63A5F"/>
    <w:rsid w:val="00F6727D"/>
    <w:rsid w:val="00F72CF5"/>
    <w:rsid w:val="00F759D7"/>
    <w:rsid w:val="00F80281"/>
    <w:rsid w:val="00F9552C"/>
    <w:rsid w:val="00FA009A"/>
    <w:rsid w:val="00FA146E"/>
    <w:rsid w:val="00FA5710"/>
    <w:rsid w:val="00FB10D2"/>
    <w:rsid w:val="00FB1355"/>
    <w:rsid w:val="00FB1ED9"/>
    <w:rsid w:val="00FB4026"/>
    <w:rsid w:val="00FC3B8D"/>
    <w:rsid w:val="00FC40A0"/>
    <w:rsid w:val="00FD26FE"/>
    <w:rsid w:val="00FD2E3A"/>
    <w:rsid w:val="00FD4CAC"/>
    <w:rsid w:val="00FD60C5"/>
    <w:rsid w:val="00FD7834"/>
    <w:rsid w:val="00FE2AB4"/>
    <w:rsid w:val="00FE6E97"/>
    <w:rsid w:val="00FF08A2"/>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A5628"/>
  <w15:docId w15:val="{6F0D1C39-0335-4EDD-BF28-7F5C184C8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iPriority w:val="9"/>
    <w:unhideWhenUsed/>
    <w:qFormat/>
    <w:rsid w:val="00335582"/>
    <w:pPr>
      <w:outlineLvl w:val="1"/>
    </w:pPr>
    <w:rPr>
      <w:rFonts w:cs="GE SS Two Light"/>
      <w:sz w:val="48"/>
      <w:szCs w:val="48"/>
    </w:rPr>
  </w:style>
  <w:style w:type="paragraph" w:styleId="Heading3">
    <w:name w:val="heading 3"/>
    <w:basedOn w:val="Normal"/>
    <w:next w:val="Normal"/>
    <w:link w:val="Heading3Char"/>
    <w:uiPriority w:val="9"/>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iPriority w:val="9"/>
    <w:unhideWhenUsed/>
    <w:qFormat/>
    <w:rsid w:val="00335582"/>
    <w:pPr>
      <w:outlineLvl w:val="3"/>
    </w:pPr>
    <w:rPr>
      <w:rFonts w:cs="GE SS Two Light"/>
    </w:rPr>
  </w:style>
  <w:style w:type="paragraph" w:styleId="Heading5">
    <w:name w:val="heading 5"/>
    <w:aliases w:val="03 Authores multaqa"/>
    <w:basedOn w:val="a1"/>
    <w:next w:val="Normal"/>
    <w:link w:val="Heading5Char"/>
    <w:uiPriority w:val="99"/>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iPriority w:val="9"/>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qFormat/>
    <w:rsid w:val="00335582"/>
    <w:pPr>
      <w:outlineLvl w:val="6"/>
    </w:pPr>
    <w:rPr>
      <w:b w:val="0"/>
      <w:bCs w:val="0"/>
      <w:sz w:val="22"/>
      <w:szCs w:val="22"/>
    </w:rPr>
  </w:style>
  <w:style w:type="paragraph" w:styleId="Heading8">
    <w:name w:val="heading 8"/>
    <w:basedOn w:val="Normal"/>
    <w:next w:val="Normal"/>
    <w:link w:val="Heading8Char"/>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5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
    <w:basedOn w:val="Normal"/>
    <w:link w:val="FootnoteTextChar"/>
    <w:uiPriority w:val="99"/>
    <w:unhideWhenUsed/>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uiPriority w:val="99"/>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iPriority w:val="99"/>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link w:val="Footer"/>
    <w:uiPriority w:val="99"/>
    <w:rsid w:val="00856A2C"/>
    <w:rPr>
      <w:rFonts w:eastAsia="Times New Roman"/>
    </w:rPr>
  </w:style>
  <w:style w:type="paragraph" w:customStyle="1" w:styleId="ecxmsonormal">
    <w:name w:val="ecxmsonormal"/>
    <w:basedOn w:val="Normal"/>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iPriority w:val="99"/>
    <w:unhideWhenUsed/>
    <w:rsid w:val="00856A2C"/>
    <w:pPr>
      <w:spacing w:line="240" w:lineRule="auto"/>
    </w:pPr>
    <w:rPr>
      <w:rFonts w:ascii="Tahoma" w:hAnsi="Tahoma" w:cs="Tahoma"/>
      <w:sz w:val="16"/>
      <w:szCs w:val="16"/>
    </w:rPr>
  </w:style>
  <w:style w:type="character" w:customStyle="1" w:styleId="BalloonTextChar">
    <w:name w:val="Balloon Text Char"/>
    <w:link w:val="BalloonText"/>
    <w:uiPriority w:val="99"/>
    <w:rsid w:val="00856A2C"/>
    <w:rPr>
      <w:rFonts w:ascii="Tahoma" w:eastAsia="Times New Roman" w:hAnsi="Tahoma" w:cs="Tahoma"/>
      <w:sz w:val="16"/>
      <w:szCs w:val="16"/>
    </w:rPr>
  </w:style>
  <w:style w:type="paragraph" w:styleId="Header">
    <w:name w:val="header"/>
    <w:basedOn w:val="Normal"/>
    <w:link w:val="HeaderChar"/>
    <w:uiPriority w:val="99"/>
    <w:unhideWhenUsed/>
    <w:rsid w:val="009825BE"/>
    <w:pPr>
      <w:tabs>
        <w:tab w:val="center" w:pos="4153"/>
        <w:tab w:val="right" w:pos="8306"/>
      </w:tabs>
      <w:spacing w:line="240" w:lineRule="auto"/>
    </w:pPr>
  </w:style>
  <w:style w:type="character" w:customStyle="1" w:styleId="HeaderChar">
    <w:name w:val="Header Char"/>
    <w:link w:val="Header"/>
    <w:uiPriority w:val="99"/>
    <w:rsid w:val="009825BE"/>
    <w:rPr>
      <w:rFonts w:eastAsia="Times New Roman" w:cs="Hacen Liner Print-out Light"/>
      <w:szCs w:val="18"/>
    </w:rPr>
  </w:style>
  <w:style w:type="paragraph" w:styleId="Title">
    <w:name w:val="Title"/>
    <w:aliases w:val="عنوان رئيسى"/>
    <w:basedOn w:val="Normal"/>
    <w:link w:val="TitleChar"/>
    <w:uiPriority w:val="10"/>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
    <w:link w:val="Title"/>
    <w:uiPriority w:val="10"/>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uiPriority w:val="99"/>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iPriority w:val="99"/>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uiPriority w:val="99"/>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rsid w:val="00C33CC6"/>
    <w:pPr>
      <w:bidi/>
      <w:spacing w:after="200" w:line="276" w:lineRule="auto"/>
    </w:pPr>
    <w:rPr>
      <w:sz w:val="22"/>
      <w:szCs w:val="22"/>
      <w:rtl/>
    </w:rPr>
  </w:style>
  <w:style w:type="paragraph" w:styleId="Subtitle">
    <w:name w:val="Subtitle"/>
    <w:basedOn w:val="Normal"/>
    <w:next w:val="Normal"/>
    <w:link w:val="SubtitleChar"/>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link w:val="Subtitle"/>
    <w:rsid w:val="00C33CC6"/>
    <w:rPr>
      <w:rFonts w:ascii="Cambria" w:eastAsia="Times New Roman" w:hAnsi="Cambria" w:cs="Times New Roman"/>
      <w:bCs/>
      <w:i/>
      <w:iCs/>
      <w:color w:val="4F81BD"/>
      <w:spacing w:val="15"/>
      <w:sz w:val="24"/>
      <w:szCs w:val="24"/>
    </w:rPr>
  </w:style>
  <w:style w:type="paragraph" w:customStyle="1" w:styleId="1">
    <w:name w:val="نمط1"/>
    <w:basedOn w:val="Subtitle"/>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uiPriority w:val="1"/>
    <w:qFormat/>
    <w:rsid w:val="00543E98"/>
    <w:rPr>
      <w:sz w:val="22"/>
      <w:szCs w:val="22"/>
    </w:rPr>
  </w:style>
  <w:style w:type="character" w:customStyle="1" w:styleId="Heading4Char">
    <w:name w:val="Heading 4 Char"/>
    <w:aliases w:val="02 Study Title multaqa Char"/>
    <w:link w:val="Heading4"/>
    <w:uiPriority w:val="9"/>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rsid w:val="00C306E3"/>
    <w:rPr>
      <w:rFonts w:ascii="Times New Roman" w:eastAsia="Times New Roman" w:hAnsi="Times New Roman" w:cs="Times New Roman"/>
      <w:sz w:val="24"/>
      <w:szCs w:val="24"/>
    </w:rPr>
  </w:style>
  <w:style w:type="character" w:styleId="FollowedHyperlink">
    <w:name w:val="FollowedHyperlink"/>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uiPriority w:val="9"/>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uiPriority w:val="9"/>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uiPriority w:val="99"/>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uiPriority w:val="9"/>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iPriority w:val="99"/>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rsid w:val="00C306E3"/>
  </w:style>
  <w:style w:type="paragraph" w:customStyle="1" w:styleId="text">
    <w:name w:val="text"/>
    <w:basedOn w:val="Normal"/>
    <w:autoRedefine/>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uiPriority w:val="99"/>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uiPriority w:val="99"/>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uiPriority w:val="1"/>
    <w:rsid w:val="002064B0"/>
    <w:rPr>
      <w:rFonts w:ascii="Calibri" w:eastAsia="Times New Roman" w:hAnsi="Calibri" w:cs="Arial"/>
    </w:rPr>
  </w:style>
  <w:style w:type="paragraph" w:customStyle="1" w:styleId="2">
    <w:name w:val="نمط2"/>
    <w:basedOn w:val="Normal"/>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iPriority w:val="99"/>
    <w:unhideWhenUsed/>
    <w:rsid w:val="0064092C"/>
    <w:pPr>
      <w:tabs>
        <w:tab w:val="right" w:leader="dot" w:pos="8041"/>
      </w:tabs>
      <w:spacing w:line="240" w:lineRule="auto"/>
      <w:ind w:left="220" w:hanging="220"/>
    </w:pPr>
  </w:style>
  <w:style w:type="paragraph" w:customStyle="1" w:styleId="author">
    <w:name w:val="author"/>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rsid w:val="00335582"/>
    <w:rPr>
      <w:rFonts w:ascii="Sakkal Majalla" w:hAnsi="Sakkal Majalla" w:cs="Sakkal Majalla"/>
      <w:noProof/>
      <w:sz w:val="22"/>
      <w:szCs w:val="22"/>
      <w:lang w:val="en-US" w:eastAsia="en-US" w:bidi="ar-EG"/>
    </w:rPr>
  </w:style>
  <w:style w:type="character" w:customStyle="1" w:styleId="Heading8Char">
    <w:name w:val="Heading 8 Char"/>
    <w:link w:val="Heading8"/>
    <w:rsid w:val="00DD08A9"/>
    <w:rPr>
      <w:rFonts w:cs="Times New Roman"/>
      <w:i/>
      <w:iCs/>
      <w:sz w:val="24"/>
      <w:szCs w:val="24"/>
      <w:lang w:bidi="en-US"/>
    </w:rPr>
  </w:style>
  <w:style w:type="character" w:customStyle="1" w:styleId="Heading9Char">
    <w:name w:val="Heading 9 Char"/>
    <w:link w:val="Heading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semiHidden/>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D08A9"/>
    <w:pPr>
      <w:spacing w:line="240" w:lineRule="auto"/>
    </w:pPr>
    <w:rPr>
      <w:rFonts w:ascii="Courier New" w:hAnsi="Times New Roman" w:cs="Traditional Arabic"/>
      <w:sz w:val="20"/>
      <w:szCs w:val="24"/>
    </w:rPr>
  </w:style>
  <w:style w:type="character" w:customStyle="1" w:styleId="PlainTextChar">
    <w:name w:val="Plain Text Char"/>
    <w:link w:val="PlainText"/>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uiPriority w:val="19"/>
    <w:qFormat/>
    <w:rsid w:val="00DD08A9"/>
    <w:rPr>
      <w:i/>
      <w:color w:val="5A5A5A"/>
    </w:rPr>
  </w:style>
  <w:style w:type="character" w:styleId="IntenseEmphasis">
    <w:name w:val="Intense Emphasis"/>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qFormat/>
    <w:rsid w:val="00A868F8"/>
    <w:pPr>
      <w:numPr>
        <w:numId w:val="4"/>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rsid w:val="00271974"/>
    <w:pPr>
      <w:bidi/>
    </w:pPr>
    <w:rPr>
      <w:rFonts w:ascii="Tahoma" w:hAnsi="Tahoma" w:cs="Monotype Koufi"/>
      <w:bCs/>
      <w:color w:val="000000"/>
      <w:sz w:val="36"/>
      <w:szCs w:val="40"/>
      <w:lang w:eastAsia="ar-SA"/>
    </w:rPr>
  </w:style>
  <w:style w:type="paragraph" w:customStyle="1" w:styleId="121">
    <w:name w:val="عنوان 12"/>
    <w:next w:val="Normal"/>
    <w:rsid w:val="00271974"/>
    <w:rPr>
      <w:rFonts w:ascii="Times New Roman" w:hAnsi="Times New Roman" w:cs="Times New Roman"/>
      <w:b/>
      <w:bCs/>
      <w:color w:val="000000"/>
      <w:sz w:val="40"/>
      <w:szCs w:val="40"/>
      <w:lang w:eastAsia="ar-SA"/>
    </w:rPr>
  </w:style>
  <w:style w:type="paragraph" w:customStyle="1" w:styleId="130">
    <w:name w:val="عنوان 13"/>
    <w:next w:val="Normal"/>
    <w:rsid w:val="00271974"/>
    <w:rPr>
      <w:rFonts w:ascii="Tahoma" w:hAnsi="Tahoma" w:cs="Simplified Arabic"/>
      <w:b/>
      <w:bCs/>
      <w:i/>
      <w:iCs/>
      <w:color w:val="000000"/>
      <w:sz w:val="36"/>
      <w:szCs w:val="36"/>
      <w:lang w:eastAsia="ar-SA"/>
    </w:rPr>
  </w:style>
  <w:style w:type="paragraph" w:customStyle="1" w:styleId="140">
    <w:name w:val="عنوان 14"/>
    <w:next w:val="Normal"/>
    <w:rsid w:val="00271974"/>
    <w:rPr>
      <w:rFonts w:ascii="Tahoma" w:hAnsi="Tahoma" w:cs="Traditional Arabic"/>
      <w:b/>
      <w:bCs/>
      <w:color w:val="000000"/>
      <w:sz w:val="32"/>
      <w:szCs w:val="32"/>
      <w:lang w:eastAsia="ar-SA"/>
    </w:rPr>
  </w:style>
  <w:style w:type="paragraph" w:styleId="TOAHeading">
    <w:name w:val="toa heading"/>
    <w:basedOn w:val="Normal"/>
    <w:next w:val="Normal"/>
    <w:rsid w:val="00271974"/>
    <w:pPr>
      <w:spacing w:before="120" w:line="240" w:lineRule="auto"/>
    </w:pPr>
    <w:rPr>
      <w:rFonts w:ascii="Arial" w:hAnsi="Arial"/>
      <w:b/>
      <w:bCs/>
      <w:sz w:val="24"/>
      <w:szCs w:val="24"/>
    </w:rPr>
  </w:style>
  <w:style w:type="paragraph" w:styleId="IndexHeading">
    <w:name w:val="index heading"/>
    <w:basedOn w:val="Normal"/>
    <w:next w:val="Index1"/>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rsid w:val="00271974"/>
    <w:rPr>
      <w:rFonts w:ascii="Simplified Arabic" w:eastAsia="Calibri" w:hAnsi="Simplified Arabic" w:cs="Traditional Arabic"/>
      <w:sz w:val="20"/>
      <w:szCs w:val="20"/>
    </w:rPr>
  </w:style>
  <w:style w:type="paragraph" w:styleId="MacroText">
    <w:name w:val="macro"/>
    <w:link w:val="MacroTextChar"/>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rsid w:val="00271974"/>
    <w:pPr>
      <w:spacing w:after="120"/>
    </w:pPr>
    <w:rPr>
      <w:rFonts w:eastAsia="Calibri" w:cs="Times New Roman"/>
      <w:sz w:val="16"/>
      <w:szCs w:val="16"/>
    </w:rPr>
  </w:style>
  <w:style w:type="character" w:customStyle="1" w:styleId="BodyText3Char">
    <w:name w:val="Body Text 3 Char"/>
    <w:link w:val="BodyText3"/>
    <w:rsid w:val="00271974"/>
    <w:rPr>
      <w:rFonts w:eastAsia="Calibri" w:cs="Times New Roman"/>
      <w:sz w:val="16"/>
      <w:szCs w:val="16"/>
    </w:rPr>
  </w:style>
  <w:style w:type="paragraph" w:customStyle="1" w:styleId="af0">
    <w:name w:val="الكتابة العادية"/>
    <w:basedOn w:val="Normal"/>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rsid w:val="00271974"/>
    <w:pPr>
      <w:numPr>
        <w:numId w:val="5"/>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 w:type="paragraph" w:customStyle="1" w:styleId="Pa8">
    <w:name w:val="Pa8"/>
    <w:basedOn w:val="Default"/>
    <w:next w:val="Default"/>
    <w:uiPriority w:val="99"/>
    <w:rsid w:val="002C3303"/>
    <w:pPr>
      <w:spacing w:line="171" w:lineRule="atLeast"/>
    </w:pPr>
    <w:rPr>
      <w:rFonts w:ascii="Adobe Garamond Pro Bold" w:eastAsiaTheme="minorHAnsi" w:hAnsi="Adobe Garamond Pro Bold" w:cstheme="minorBidi"/>
      <w:color w:val="auto"/>
      <w:lang w:val="en-US"/>
    </w:rPr>
  </w:style>
  <w:style w:type="paragraph" w:customStyle="1" w:styleId="Pa5">
    <w:name w:val="Pa5"/>
    <w:basedOn w:val="Default"/>
    <w:next w:val="Default"/>
    <w:uiPriority w:val="99"/>
    <w:rsid w:val="002C3303"/>
    <w:pPr>
      <w:spacing w:line="281" w:lineRule="atLeast"/>
    </w:pPr>
    <w:rPr>
      <w:rFonts w:ascii="Univers LT Std 45 Light" w:eastAsiaTheme="minorHAnsi" w:hAnsi="Univers LT Std 45 Light" w:cstheme="minorBidi"/>
      <w:color w:val="auto"/>
      <w:lang w:val="en-US"/>
    </w:rPr>
  </w:style>
  <w:style w:type="character" w:customStyle="1" w:styleId="A70">
    <w:name w:val="A7"/>
    <w:uiPriority w:val="99"/>
    <w:rsid w:val="002C3303"/>
    <w:rPr>
      <w:rFonts w:cs="Univers LT Std 45 Light"/>
      <w:b/>
      <w:bCs/>
      <w:i/>
      <w:iCs/>
      <w:color w:val="000000"/>
      <w:sz w:val="14"/>
      <w:szCs w:val="14"/>
    </w:rPr>
  </w:style>
  <w:style w:type="paragraph" w:customStyle="1" w:styleId="Pa1">
    <w:name w:val="Pa1"/>
    <w:basedOn w:val="Default"/>
    <w:next w:val="Default"/>
    <w:uiPriority w:val="99"/>
    <w:rsid w:val="002C3303"/>
    <w:pPr>
      <w:spacing w:line="191" w:lineRule="atLeast"/>
    </w:pPr>
    <w:rPr>
      <w:rFonts w:ascii="Adobe Garamond Pro" w:eastAsiaTheme="minorHAnsi" w:hAnsi="Adobe Garamond Pro" w:cstheme="minorBidi"/>
      <w:color w:val="auto"/>
      <w:lang w:val="en-US"/>
    </w:rPr>
  </w:style>
  <w:style w:type="paragraph" w:customStyle="1" w:styleId="Pa2">
    <w:name w:val="Pa2"/>
    <w:basedOn w:val="Default"/>
    <w:next w:val="Default"/>
    <w:uiPriority w:val="99"/>
    <w:rsid w:val="002C3303"/>
    <w:pPr>
      <w:spacing w:line="191" w:lineRule="atLeast"/>
    </w:pPr>
    <w:rPr>
      <w:rFonts w:ascii="Adobe Garamond Pro" w:eastAsiaTheme="minorHAnsi" w:hAnsi="Adobe Garamond Pro" w:cstheme="minorBidi"/>
      <w:color w:val="auto"/>
      <w:lang w:val="en-US"/>
    </w:rPr>
  </w:style>
  <w:style w:type="paragraph" w:customStyle="1" w:styleId="EndNoteBibliographyTitle">
    <w:name w:val="EndNote Bibliography Title"/>
    <w:basedOn w:val="Normal"/>
    <w:link w:val="EndNoteBibliographyTitleChar"/>
    <w:rsid w:val="002C3303"/>
    <w:pPr>
      <w:spacing w:line="276" w:lineRule="auto"/>
      <w:jc w:val="center"/>
    </w:pPr>
    <w:rPr>
      <w:rFonts w:ascii="Calibri" w:eastAsiaTheme="minorHAnsi" w:hAnsi="Calibri" w:cstheme="minorBidi"/>
      <w:lang w:bidi="ar-SA"/>
    </w:rPr>
  </w:style>
  <w:style w:type="character" w:customStyle="1" w:styleId="EndNoteBibliographyTitleChar">
    <w:name w:val="EndNote Bibliography Title Char"/>
    <w:basedOn w:val="DefaultParagraphFont"/>
    <w:link w:val="EndNoteBibliographyTitle"/>
    <w:rsid w:val="002C3303"/>
    <w:rPr>
      <w:rFonts w:eastAsiaTheme="minorHAnsi" w:cstheme="minorBidi"/>
      <w:noProof/>
      <w:sz w:val="22"/>
      <w:szCs w:val="22"/>
    </w:rPr>
  </w:style>
  <w:style w:type="paragraph" w:customStyle="1" w:styleId="EndNoteBibliography">
    <w:name w:val="EndNote Bibliography"/>
    <w:basedOn w:val="Normal"/>
    <w:link w:val="EndNoteBibliographyChar"/>
    <w:rsid w:val="002C3303"/>
    <w:pPr>
      <w:spacing w:after="200" w:line="240" w:lineRule="auto"/>
      <w:jc w:val="left"/>
    </w:pPr>
    <w:rPr>
      <w:rFonts w:ascii="Calibri" w:eastAsiaTheme="minorHAnsi" w:hAnsi="Calibri" w:cstheme="minorBidi"/>
      <w:lang w:bidi="ar-SA"/>
    </w:rPr>
  </w:style>
  <w:style w:type="character" w:customStyle="1" w:styleId="EndNoteBibliographyChar">
    <w:name w:val="EndNote Bibliography Char"/>
    <w:basedOn w:val="DefaultParagraphFont"/>
    <w:link w:val="EndNoteBibliography"/>
    <w:rsid w:val="002C3303"/>
    <w:rPr>
      <w:rFonts w:eastAsiaTheme="minorHAnsi" w:cstheme="minorBidi"/>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hyperlink" Target="http://dx.doi.org/10.1016/j.envres.2011.06.012"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dx.doi.org/10.1016/S0013-9351(02)00059-2"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www.ingentaconnect.com/content/els/13522310/2000/00000034/00000026/art00181;jsessionid=ghuudbcghf7t.alice" TargetMode="Externa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yperlink" Target="http://www.sciencedirect.com/science/article/pii/S0160412005000905?_rdoc=14&amp;_fmt=high&amp;_origin=browse&amp;_srch=doc-info(%23toc%235854%232006%23999679998%23613570%23FLA%23display%23Volume)&amp;_docanchor=&amp;_ct=16&amp;_refLink=Y&amp;_zone=rslt_list_item&amp;md5=73daff362d20094fdd8cfc5291468587" TargetMode="External"/><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Said%20Munir\AppData\Local\Temp\Rar$DIa0.872\PM10_RISK%20ASSESSMENT.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Downloads\PM10_RISK%20ASSESSMENT.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Downloads\PM10_RISK%20ASSESSMENT.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'Conc.'!$J$3</c:f>
              <c:strCache>
                <c:ptCount val="1"/>
                <c:pt idx="0">
                  <c:v>SH</c:v>
                </c:pt>
              </c:strCache>
            </c:strRef>
          </c:tx>
          <c:spPr>
            <a:ln>
              <a:prstDash val="sysDash"/>
            </a:ln>
          </c:spPr>
          <c:marker>
            <c:symbol val="none"/>
          </c:marker>
          <c:cat>
            <c:strRef>
              <c:f>'Conc.'!$I$4:$I$33</c:f>
              <c:strCache>
                <c:ptCount val="30"/>
                <c:pt idx="0">
                  <c:v>01 رمضان </c:v>
                </c:pt>
                <c:pt idx="1">
                  <c:v>07 رمضان </c:v>
                </c:pt>
                <c:pt idx="2">
                  <c:v>13 رمضان</c:v>
                </c:pt>
                <c:pt idx="3">
                  <c:v>19 رمضان</c:v>
                </c:pt>
                <c:pt idx="4">
                  <c:v>25 رمضان</c:v>
                </c:pt>
                <c:pt idx="5">
                  <c:v>01 شوال</c:v>
                </c:pt>
                <c:pt idx="6">
                  <c:v>07 شوال</c:v>
                </c:pt>
                <c:pt idx="7">
                  <c:v>13 شوال</c:v>
                </c:pt>
                <c:pt idx="8">
                  <c:v>19 شوال</c:v>
                </c:pt>
                <c:pt idx="9">
                  <c:v>25 شوال</c:v>
                </c:pt>
                <c:pt idx="10">
                  <c:v>01 ذي القعدة </c:v>
                </c:pt>
                <c:pt idx="11">
                  <c:v>07 ذي القعدة</c:v>
                </c:pt>
                <c:pt idx="12">
                  <c:v>13 ذي القعدة</c:v>
                </c:pt>
                <c:pt idx="13">
                  <c:v>19 ذي القعدة </c:v>
                </c:pt>
                <c:pt idx="14">
                  <c:v>25 ذي القعدة</c:v>
                </c:pt>
                <c:pt idx="15">
                  <c:v>02 ذي الحجة </c:v>
                </c:pt>
                <c:pt idx="16">
                  <c:v>08 ذي الحجة</c:v>
                </c:pt>
                <c:pt idx="17">
                  <c:v>14 ذي الحجة</c:v>
                </c:pt>
                <c:pt idx="18">
                  <c:v>20 ذي الحجة</c:v>
                </c:pt>
                <c:pt idx="19">
                  <c:v>26 ذي الحجة</c:v>
                </c:pt>
                <c:pt idx="20">
                  <c:v>03 محرم</c:v>
                </c:pt>
                <c:pt idx="21">
                  <c:v>09 محرم </c:v>
                </c:pt>
                <c:pt idx="22">
                  <c:v>15 محرم </c:v>
                </c:pt>
                <c:pt idx="23">
                  <c:v>21 محرم</c:v>
                </c:pt>
                <c:pt idx="24">
                  <c:v>27 محرم</c:v>
                </c:pt>
                <c:pt idx="25">
                  <c:v>03 صفر</c:v>
                </c:pt>
                <c:pt idx="26">
                  <c:v>09 صفر</c:v>
                </c:pt>
                <c:pt idx="27">
                  <c:v>15 صفر </c:v>
                </c:pt>
                <c:pt idx="28">
                  <c:v>21 صفر</c:v>
                </c:pt>
                <c:pt idx="29">
                  <c:v>27 صفر</c:v>
                </c:pt>
              </c:strCache>
            </c:strRef>
          </c:cat>
          <c:val>
            <c:numRef>
              <c:f>'Conc.'!$J$4:$J$33</c:f>
              <c:numCache>
                <c:formatCode>0.0</c:formatCode>
                <c:ptCount val="30"/>
                <c:pt idx="0">
                  <c:v>211.3</c:v>
                </c:pt>
                <c:pt idx="1">
                  <c:v>203.8</c:v>
                </c:pt>
                <c:pt idx="2">
                  <c:v>225.4</c:v>
                </c:pt>
                <c:pt idx="3">
                  <c:v>192.6</c:v>
                </c:pt>
                <c:pt idx="4">
                  <c:v>280</c:v>
                </c:pt>
                <c:pt idx="5">
                  <c:v>241</c:v>
                </c:pt>
                <c:pt idx="6">
                  <c:v>198.8</c:v>
                </c:pt>
                <c:pt idx="7">
                  <c:v>186.1</c:v>
                </c:pt>
                <c:pt idx="8">
                  <c:v>194.8</c:v>
                </c:pt>
                <c:pt idx="9">
                  <c:v>197.6</c:v>
                </c:pt>
                <c:pt idx="10">
                  <c:v>258.60000000000002</c:v>
                </c:pt>
                <c:pt idx="11">
                  <c:v>308.60000000000002</c:v>
                </c:pt>
                <c:pt idx="12">
                  <c:v>326.7</c:v>
                </c:pt>
                <c:pt idx="13">
                  <c:v>282.39999999999998</c:v>
                </c:pt>
                <c:pt idx="14">
                  <c:v>266.60000000000002</c:v>
                </c:pt>
                <c:pt idx="15">
                  <c:v>302</c:v>
                </c:pt>
                <c:pt idx="16">
                  <c:v>315.2</c:v>
                </c:pt>
                <c:pt idx="17">
                  <c:v>339.8</c:v>
                </c:pt>
                <c:pt idx="18">
                  <c:v>343.2</c:v>
                </c:pt>
                <c:pt idx="19">
                  <c:v>330.1</c:v>
                </c:pt>
                <c:pt idx="20">
                  <c:v>259.7</c:v>
                </c:pt>
                <c:pt idx="21">
                  <c:v>225.5</c:v>
                </c:pt>
                <c:pt idx="22">
                  <c:v>233.5</c:v>
                </c:pt>
                <c:pt idx="23">
                  <c:v>219.8</c:v>
                </c:pt>
                <c:pt idx="24">
                  <c:v>222.2</c:v>
                </c:pt>
                <c:pt idx="25">
                  <c:v>200.5</c:v>
                </c:pt>
                <c:pt idx="26">
                  <c:v>200.5</c:v>
                </c:pt>
                <c:pt idx="27">
                  <c:v>217.8</c:v>
                </c:pt>
                <c:pt idx="28">
                  <c:v>211.3</c:v>
                </c:pt>
                <c:pt idx="29">
                  <c:v>234.5</c:v>
                </c:pt>
              </c:numCache>
            </c:numRef>
          </c:val>
          <c:smooth val="0"/>
          <c:extLst>
            <c:ext xmlns:c16="http://schemas.microsoft.com/office/drawing/2014/chart" uri="{C3380CC4-5D6E-409C-BE32-E72D297353CC}">
              <c16:uniqueId val="{00000000-71DC-47A6-9378-6ED637D8597E}"/>
            </c:ext>
          </c:extLst>
        </c:ser>
        <c:ser>
          <c:idx val="1"/>
          <c:order val="1"/>
          <c:tx>
            <c:strRef>
              <c:f>'Conc.'!$K$3</c:f>
              <c:strCache>
                <c:ptCount val="1"/>
                <c:pt idx="0">
                  <c:v>MS</c:v>
                </c:pt>
              </c:strCache>
            </c:strRef>
          </c:tx>
          <c:spPr>
            <a:ln>
              <a:solidFill>
                <a:srgbClr val="FFC000"/>
              </a:solidFill>
              <a:prstDash val="dashDot"/>
            </a:ln>
          </c:spPr>
          <c:marker>
            <c:symbol val="none"/>
          </c:marker>
          <c:cat>
            <c:strRef>
              <c:f>'Conc.'!$I$4:$I$33</c:f>
              <c:strCache>
                <c:ptCount val="30"/>
                <c:pt idx="0">
                  <c:v>01 رمضان </c:v>
                </c:pt>
                <c:pt idx="1">
                  <c:v>07 رمضان </c:v>
                </c:pt>
                <c:pt idx="2">
                  <c:v>13 رمضان</c:v>
                </c:pt>
                <c:pt idx="3">
                  <c:v>19 رمضان</c:v>
                </c:pt>
                <c:pt idx="4">
                  <c:v>25 رمضان</c:v>
                </c:pt>
                <c:pt idx="5">
                  <c:v>01 شوال</c:v>
                </c:pt>
                <c:pt idx="6">
                  <c:v>07 شوال</c:v>
                </c:pt>
                <c:pt idx="7">
                  <c:v>13 شوال</c:v>
                </c:pt>
                <c:pt idx="8">
                  <c:v>19 شوال</c:v>
                </c:pt>
                <c:pt idx="9">
                  <c:v>25 شوال</c:v>
                </c:pt>
                <c:pt idx="10">
                  <c:v>01 ذي القعدة </c:v>
                </c:pt>
                <c:pt idx="11">
                  <c:v>07 ذي القعدة</c:v>
                </c:pt>
                <c:pt idx="12">
                  <c:v>13 ذي القعدة</c:v>
                </c:pt>
                <c:pt idx="13">
                  <c:v>19 ذي القعدة </c:v>
                </c:pt>
                <c:pt idx="14">
                  <c:v>25 ذي القعدة</c:v>
                </c:pt>
                <c:pt idx="15">
                  <c:v>02 ذي الحجة </c:v>
                </c:pt>
                <c:pt idx="16">
                  <c:v>08 ذي الحجة</c:v>
                </c:pt>
                <c:pt idx="17">
                  <c:v>14 ذي الحجة</c:v>
                </c:pt>
                <c:pt idx="18">
                  <c:v>20 ذي الحجة</c:v>
                </c:pt>
                <c:pt idx="19">
                  <c:v>26 ذي الحجة</c:v>
                </c:pt>
                <c:pt idx="20">
                  <c:v>03 محرم</c:v>
                </c:pt>
                <c:pt idx="21">
                  <c:v>09 محرم </c:v>
                </c:pt>
                <c:pt idx="22">
                  <c:v>15 محرم </c:v>
                </c:pt>
                <c:pt idx="23">
                  <c:v>21 محرم</c:v>
                </c:pt>
                <c:pt idx="24">
                  <c:v>27 محرم</c:v>
                </c:pt>
                <c:pt idx="25">
                  <c:v>03 صفر</c:v>
                </c:pt>
                <c:pt idx="26">
                  <c:v>09 صفر</c:v>
                </c:pt>
                <c:pt idx="27">
                  <c:v>15 صفر </c:v>
                </c:pt>
                <c:pt idx="28">
                  <c:v>21 صفر</c:v>
                </c:pt>
                <c:pt idx="29">
                  <c:v>27 صفر</c:v>
                </c:pt>
              </c:strCache>
            </c:strRef>
          </c:cat>
          <c:val>
            <c:numRef>
              <c:f>'Conc.'!$K$4:$K$33</c:f>
              <c:numCache>
                <c:formatCode>0.0</c:formatCode>
                <c:ptCount val="30"/>
                <c:pt idx="0">
                  <c:v>178.4</c:v>
                </c:pt>
                <c:pt idx="1">
                  <c:v>155.80000000000001</c:v>
                </c:pt>
                <c:pt idx="2">
                  <c:v>164.2</c:v>
                </c:pt>
                <c:pt idx="3">
                  <c:v>161</c:v>
                </c:pt>
                <c:pt idx="4">
                  <c:v>170.4</c:v>
                </c:pt>
                <c:pt idx="5">
                  <c:v>155.30000000000001</c:v>
                </c:pt>
                <c:pt idx="6">
                  <c:v>159.5</c:v>
                </c:pt>
                <c:pt idx="7">
                  <c:v>161.69999999999999</c:v>
                </c:pt>
                <c:pt idx="8">
                  <c:v>170.2</c:v>
                </c:pt>
                <c:pt idx="9">
                  <c:v>145.6</c:v>
                </c:pt>
                <c:pt idx="10">
                  <c:v>178.7</c:v>
                </c:pt>
                <c:pt idx="11">
                  <c:v>174.2</c:v>
                </c:pt>
                <c:pt idx="12">
                  <c:v>181.8</c:v>
                </c:pt>
                <c:pt idx="13">
                  <c:v>203.4</c:v>
                </c:pt>
                <c:pt idx="14">
                  <c:v>195.8</c:v>
                </c:pt>
                <c:pt idx="15">
                  <c:v>205.4</c:v>
                </c:pt>
                <c:pt idx="16">
                  <c:v>259.89999999999998</c:v>
                </c:pt>
                <c:pt idx="17">
                  <c:v>271.39999999999998</c:v>
                </c:pt>
                <c:pt idx="18">
                  <c:v>248.9</c:v>
                </c:pt>
                <c:pt idx="19">
                  <c:v>182.67</c:v>
                </c:pt>
                <c:pt idx="20">
                  <c:v>168.75</c:v>
                </c:pt>
                <c:pt idx="21">
                  <c:v>155.29</c:v>
                </c:pt>
                <c:pt idx="22">
                  <c:v>189.38</c:v>
                </c:pt>
                <c:pt idx="23">
                  <c:v>211.3</c:v>
                </c:pt>
                <c:pt idx="24">
                  <c:v>174.13</c:v>
                </c:pt>
                <c:pt idx="25">
                  <c:v>156.91999999999999</c:v>
                </c:pt>
                <c:pt idx="26">
                  <c:v>147.16999999999999</c:v>
                </c:pt>
                <c:pt idx="27">
                  <c:v>169.17</c:v>
                </c:pt>
                <c:pt idx="28">
                  <c:v>144.08000000000001</c:v>
                </c:pt>
                <c:pt idx="29">
                  <c:v>152.08000000000001</c:v>
                </c:pt>
              </c:numCache>
            </c:numRef>
          </c:val>
          <c:smooth val="0"/>
          <c:extLst>
            <c:ext xmlns:c16="http://schemas.microsoft.com/office/drawing/2014/chart" uri="{C3380CC4-5D6E-409C-BE32-E72D297353CC}">
              <c16:uniqueId val="{00000001-71DC-47A6-9378-6ED637D8597E}"/>
            </c:ext>
          </c:extLst>
        </c:ser>
        <c:ser>
          <c:idx val="2"/>
          <c:order val="2"/>
          <c:tx>
            <c:strRef>
              <c:f>'Conc.'!$L$3</c:f>
              <c:strCache>
                <c:ptCount val="1"/>
                <c:pt idx="0">
                  <c:v>AZ</c:v>
                </c:pt>
              </c:strCache>
            </c:strRef>
          </c:tx>
          <c:spPr>
            <a:ln>
              <a:prstDash val="sysDot"/>
            </a:ln>
          </c:spPr>
          <c:marker>
            <c:symbol val="none"/>
          </c:marker>
          <c:cat>
            <c:strRef>
              <c:f>'Conc.'!$I$4:$I$33</c:f>
              <c:strCache>
                <c:ptCount val="30"/>
                <c:pt idx="0">
                  <c:v>01 رمضان </c:v>
                </c:pt>
                <c:pt idx="1">
                  <c:v>07 رمضان </c:v>
                </c:pt>
                <c:pt idx="2">
                  <c:v>13 رمضان</c:v>
                </c:pt>
                <c:pt idx="3">
                  <c:v>19 رمضان</c:v>
                </c:pt>
                <c:pt idx="4">
                  <c:v>25 رمضان</c:v>
                </c:pt>
                <c:pt idx="5">
                  <c:v>01 شوال</c:v>
                </c:pt>
                <c:pt idx="6">
                  <c:v>07 شوال</c:v>
                </c:pt>
                <c:pt idx="7">
                  <c:v>13 شوال</c:v>
                </c:pt>
                <c:pt idx="8">
                  <c:v>19 شوال</c:v>
                </c:pt>
                <c:pt idx="9">
                  <c:v>25 شوال</c:v>
                </c:pt>
                <c:pt idx="10">
                  <c:v>01 ذي القعدة </c:v>
                </c:pt>
                <c:pt idx="11">
                  <c:v>07 ذي القعدة</c:v>
                </c:pt>
                <c:pt idx="12">
                  <c:v>13 ذي القعدة</c:v>
                </c:pt>
                <c:pt idx="13">
                  <c:v>19 ذي القعدة </c:v>
                </c:pt>
                <c:pt idx="14">
                  <c:v>25 ذي القعدة</c:v>
                </c:pt>
                <c:pt idx="15">
                  <c:v>02 ذي الحجة </c:v>
                </c:pt>
                <c:pt idx="16">
                  <c:v>08 ذي الحجة</c:v>
                </c:pt>
                <c:pt idx="17">
                  <c:v>14 ذي الحجة</c:v>
                </c:pt>
                <c:pt idx="18">
                  <c:v>20 ذي الحجة</c:v>
                </c:pt>
                <c:pt idx="19">
                  <c:v>26 ذي الحجة</c:v>
                </c:pt>
                <c:pt idx="20">
                  <c:v>03 محرم</c:v>
                </c:pt>
                <c:pt idx="21">
                  <c:v>09 محرم </c:v>
                </c:pt>
                <c:pt idx="22">
                  <c:v>15 محرم </c:v>
                </c:pt>
                <c:pt idx="23">
                  <c:v>21 محرم</c:v>
                </c:pt>
                <c:pt idx="24">
                  <c:v>27 محرم</c:v>
                </c:pt>
                <c:pt idx="25">
                  <c:v>03 صفر</c:v>
                </c:pt>
                <c:pt idx="26">
                  <c:v>09 صفر</c:v>
                </c:pt>
                <c:pt idx="27">
                  <c:v>15 صفر </c:v>
                </c:pt>
                <c:pt idx="28">
                  <c:v>21 صفر</c:v>
                </c:pt>
                <c:pt idx="29">
                  <c:v>27 صفر</c:v>
                </c:pt>
              </c:strCache>
            </c:strRef>
          </c:cat>
          <c:val>
            <c:numRef>
              <c:f>'Conc.'!$L$4:$L$33</c:f>
              <c:numCache>
                <c:formatCode>0.0</c:formatCode>
                <c:ptCount val="30"/>
                <c:pt idx="0">
                  <c:v>253.75</c:v>
                </c:pt>
                <c:pt idx="1">
                  <c:v>105.29</c:v>
                </c:pt>
                <c:pt idx="2">
                  <c:v>186.25</c:v>
                </c:pt>
                <c:pt idx="3">
                  <c:v>181.38</c:v>
                </c:pt>
                <c:pt idx="4">
                  <c:v>158.96</c:v>
                </c:pt>
                <c:pt idx="5">
                  <c:v>216.88</c:v>
                </c:pt>
                <c:pt idx="6">
                  <c:v>144.63</c:v>
                </c:pt>
                <c:pt idx="7">
                  <c:v>111.88</c:v>
                </c:pt>
                <c:pt idx="8">
                  <c:v>117.38</c:v>
                </c:pt>
                <c:pt idx="9">
                  <c:v>209.14</c:v>
                </c:pt>
                <c:pt idx="10">
                  <c:v>129.25</c:v>
                </c:pt>
                <c:pt idx="11">
                  <c:v>184.83</c:v>
                </c:pt>
                <c:pt idx="12">
                  <c:v>211.13</c:v>
                </c:pt>
                <c:pt idx="13">
                  <c:v>209.04</c:v>
                </c:pt>
                <c:pt idx="14">
                  <c:v>163.5</c:v>
                </c:pt>
                <c:pt idx="15">
                  <c:v>189.65</c:v>
                </c:pt>
                <c:pt idx="16">
                  <c:v>160.38</c:v>
                </c:pt>
                <c:pt idx="17">
                  <c:v>183.36</c:v>
                </c:pt>
                <c:pt idx="18">
                  <c:v>168.54</c:v>
                </c:pt>
                <c:pt idx="19">
                  <c:v>133.88</c:v>
                </c:pt>
                <c:pt idx="20">
                  <c:v>158.66999999999999</c:v>
                </c:pt>
                <c:pt idx="21">
                  <c:v>143</c:v>
                </c:pt>
                <c:pt idx="22">
                  <c:v>92.44</c:v>
                </c:pt>
                <c:pt idx="23">
                  <c:v>135.82</c:v>
                </c:pt>
                <c:pt idx="24">
                  <c:v>109.79</c:v>
                </c:pt>
                <c:pt idx="25">
                  <c:v>96.58</c:v>
                </c:pt>
                <c:pt idx="26">
                  <c:v>181.1</c:v>
                </c:pt>
                <c:pt idx="27">
                  <c:v>166.8</c:v>
                </c:pt>
                <c:pt idx="28">
                  <c:v>157.6</c:v>
                </c:pt>
                <c:pt idx="29">
                  <c:v>170.1</c:v>
                </c:pt>
              </c:numCache>
            </c:numRef>
          </c:val>
          <c:smooth val="0"/>
          <c:extLst>
            <c:ext xmlns:c16="http://schemas.microsoft.com/office/drawing/2014/chart" uri="{C3380CC4-5D6E-409C-BE32-E72D297353CC}">
              <c16:uniqueId val="{00000002-71DC-47A6-9378-6ED637D8597E}"/>
            </c:ext>
          </c:extLst>
        </c:ser>
        <c:ser>
          <c:idx val="3"/>
          <c:order val="3"/>
          <c:tx>
            <c:strRef>
              <c:f>'Conc.'!$M$3</c:f>
              <c:strCache>
                <c:ptCount val="1"/>
                <c:pt idx="0">
                  <c:v>AW</c:v>
                </c:pt>
              </c:strCache>
            </c:strRef>
          </c:tx>
          <c:marker>
            <c:symbol val="none"/>
          </c:marker>
          <c:cat>
            <c:strRef>
              <c:f>'Conc.'!$I$4:$I$33</c:f>
              <c:strCache>
                <c:ptCount val="30"/>
                <c:pt idx="0">
                  <c:v>01 رمضان </c:v>
                </c:pt>
                <c:pt idx="1">
                  <c:v>07 رمضان </c:v>
                </c:pt>
                <c:pt idx="2">
                  <c:v>13 رمضان</c:v>
                </c:pt>
                <c:pt idx="3">
                  <c:v>19 رمضان</c:v>
                </c:pt>
                <c:pt idx="4">
                  <c:v>25 رمضان</c:v>
                </c:pt>
                <c:pt idx="5">
                  <c:v>01 شوال</c:v>
                </c:pt>
                <c:pt idx="6">
                  <c:v>07 شوال</c:v>
                </c:pt>
                <c:pt idx="7">
                  <c:v>13 شوال</c:v>
                </c:pt>
                <c:pt idx="8">
                  <c:v>19 شوال</c:v>
                </c:pt>
                <c:pt idx="9">
                  <c:v>25 شوال</c:v>
                </c:pt>
                <c:pt idx="10">
                  <c:v>01 ذي القعدة </c:v>
                </c:pt>
                <c:pt idx="11">
                  <c:v>07 ذي القعدة</c:v>
                </c:pt>
                <c:pt idx="12">
                  <c:v>13 ذي القعدة</c:v>
                </c:pt>
                <c:pt idx="13">
                  <c:v>19 ذي القعدة </c:v>
                </c:pt>
                <c:pt idx="14">
                  <c:v>25 ذي القعدة</c:v>
                </c:pt>
                <c:pt idx="15">
                  <c:v>02 ذي الحجة </c:v>
                </c:pt>
                <c:pt idx="16">
                  <c:v>08 ذي الحجة</c:v>
                </c:pt>
                <c:pt idx="17">
                  <c:v>14 ذي الحجة</c:v>
                </c:pt>
                <c:pt idx="18">
                  <c:v>20 ذي الحجة</c:v>
                </c:pt>
                <c:pt idx="19">
                  <c:v>26 ذي الحجة</c:v>
                </c:pt>
                <c:pt idx="20">
                  <c:v>03 محرم</c:v>
                </c:pt>
                <c:pt idx="21">
                  <c:v>09 محرم </c:v>
                </c:pt>
                <c:pt idx="22">
                  <c:v>15 محرم </c:v>
                </c:pt>
                <c:pt idx="23">
                  <c:v>21 محرم</c:v>
                </c:pt>
                <c:pt idx="24">
                  <c:v>27 محرم</c:v>
                </c:pt>
                <c:pt idx="25">
                  <c:v>03 صفر</c:v>
                </c:pt>
                <c:pt idx="26">
                  <c:v>09 صفر</c:v>
                </c:pt>
                <c:pt idx="27">
                  <c:v>15 صفر </c:v>
                </c:pt>
                <c:pt idx="28">
                  <c:v>21 صفر</c:v>
                </c:pt>
                <c:pt idx="29">
                  <c:v>27 صفر</c:v>
                </c:pt>
              </c:strCache>
            </c:strRef>
          </c:cat>
          <c:val>
            <c:numRef>
              <c:f>'Conc.'!$M$4:$M$33</c:f>
              <c:numCache>
                <c:formatCode>General</c:formatCode>
                <c:ptCount val="30"/>
                <c:pt idx="0">
                  <c:v>51.2</c:v>
                </c:pt>
                <c:pt idx="1">
                  <c:v>48.6</c:v>
                </c:pt>
                <c:pt idx="2">
                  <c:v>44.5</c:v>
                </c:pt>
                <c:pt idx="3">
                  <c:v>46.8</c:v>
                </c:pt>
                <c:pt idx="4">
                  <c:v>50.8</c:v>
                </c:pt>
                <c:pt idx="5">
                  <c:v>56.5</c:v>
                </c:pt>
                <c:pt idx="6">
                  <c:v>53.8</c:v>
                </c:pt>
                <c:pt idx="7">
                  <c:v>48.5</c:v>
                </c:pt>
                <c:pt idx="8">
                  <c:v>46.5</c:v>
                </c:pt>
                <c:pt idx="9">
                  <c:v>53.7</c:v>
                </c:pt>
                <c:pt idx="10">
                  <c:v>51.1</c:v>
                </c:pt>
                <c:pt idx="11">
                  <c:v>61.5</c:v>
                </c:pt>
                <c:pt idx="12">
                  <c:v>54.8</c:v>
                </c:pt>
                <c:pt idx="13">
                  <c:v>47.1</c:v>
                </c:pt>
                <c:pt idx="14">
                  <c:v>64.5</c:v>
                </c:pt>
                <c:pt idx="15" formatCode="0.0">
                  <c:v>58.1</c:v>
                </c:pt>
                <c:pt idx="16" formatCode="0.0">
                  <c:v>119.8</c:v>
                </c:pt>
                <c:pt idx="17" formatCode="0.0">
                  <c:v>64.2</c:v>
                </c:pt>
                <c:pt idx="18" formatCode="0.0">
                  <c:v>52.9</c:v>
                </c:pt>
                <c:pt idx="19" formatCode="0.0">
                  <c:v>60.95</c:v>
                </c:pt>
                <c:pt idx="20" formatCode="0.0">
                  <c:v>59.000000000000099</c:v>
                </c:pt>
                <c:pt idx="21" formatCode="0.0">
                  <c:v>61.2</c:v>
                </c:pt>
                <c:pt idx="22" formatCode="0.0">
                  <c:v>44.8</c:v>
                </c:pt>
                <c:pt idx="23" formatCode="0.0">
                  <c:v>50.1</c:v>
                </c:pt>
                <c:pt idx="24">
                  <c:v>47.8</c:v>
                </c:pt>
                <c:pt idx="25">
                  <c:v>51.2</c:v>
                </c:pt>
                <c:pt idx="26">
                  <c:v>48.9</c:v>
                </c:pt>
                <c:pt idx="27">
                  <c:v>60.1</c:v>
                </c:pt>
                <c:pt idx="28">
                  <c:v>52.4</c:v>
                </c:pt>
                <c:pt idx="29">
                  <c:v>49.6</c:v>
                </c:pt>
              </c:numCache>
            </c:numRef>
          </c:val>
          <c:smooth val="0"/>
          <c:extLst>
            <c:ext xmlns:c16="http://schemas.microsoft.com/office/drawing/2014/chart" uri="{C3380CC4-5D6E-409C-BE32-E72D297353CC}">
              <c16:uniqueId val="{00000003-71DC-47A6-9378-6ED637D8597E}"/>
            </c:ext>
          </c:extLst>
        </c:ser>
        <c:ser>
          <c:idx val="4"/>
          <c:order val="4"/>
          <c:tx>
            <c:strRef>
              <c:f>'Conc.'!$N$3</c:f>
              <c:strCache>
                <c:ptCount val="1"/>
                <c:pt idx="0">
                  <c:v>PME-limitation</c:v>
                </c:pt>
              </c:strCache>
            </c:strRef>
          </c:tx>
          <c:spPr>
            <a:ln>
              <a:solidFill>
                <a:srgbClr val="FF0000"/>
              </a:solidFill>
              <a:prstDash val="lgDash"/>
            </a:ln>
          </c:spPr>
          <c:marker>
            <c:symbol val="none"/>
          </c:marker>
          <c:cat>
            <c:strRef>
              <c:f>'Conc.'!$I$4:$I$33</c:f>
              <c:strCache>
                <c:ptCount val="30"/>
                <c:pt idx="0">
                  <c:v>01 رمضان </c:v>
                </c:pt>
                <c:pt idx="1">
                  <c:v>07 رمضان </c:v>
                </c:pt>
                <c:pt idx="2">
                  <c:v>13 رمضان</c:v>
                </c:pt>
                <c:pt idx="3">
                  <c:v>19 رمضان</c:v>
                </c:pt>
                <c:pt idx="4">
                  <c:v>25 رمضان</c:v>
                </c:pt>
                <c:pt idx="5">
                  <c:v>01 شوال</c:v>
                </c:pt>
                <c:pt idx="6">
                  <c:v>07 شوال</c:v>
                </c:pt>
                <c:pt idx="7">
                  <c:v>13 شوال</c:v>
                </c:pt>
                <c:pt idx="8">
                  <c:v>19 شوال</c:v>
                </c:pt>
                <c:pt idx="9">
                  <c:v>25 شوال</c:v>
                </c:pt>
                <c:pt idx="10">
                  <c:v>01 ذي القعدة </c:v>
                </c:pt>
                <c:pt idx="11">
                  <c:v>07 ذي القعدة</c:v>
                </c:pt>
                <c:pt idx="12">
                  <c:v>13 ذي القعدة</c:v>
                </c:pt>
                <c:pt idx="13">
                  <c:v>19 ذي القعدة </c:v>
                </c:pt>
                <c:pt idx="14">
                  <c:v>25 ذي القعدة</c:v>
                </c:pt>
                <c:pt idx="15">
                  <c:v>02 ذي الحجة </c:v>
                </c:pt>
                <c:pt idx="16">
                  <c:v>08 ذي الحجة</c:v>
                </c:pt>
                <c:pt idx="17">
                  <c:v>14 ذي الحجة</c:v>
                </c:pt>
                <c:pt idx="18">
                  <c:v>20 ذي الحجة</c:v>
                </c:pt>
                <c:pt idx="19">
                  <c:v>26 ذي الحجة</c:v>
                </c:pt>
                <c:pt idx="20">
                  <c:v>03 محرم</c:v>
                </c:pt>
                <c:pt idx="21">
                  <c:v>09 محرم </c:v>
                </c:pt>
                <c:pt idx="22">
                  <c:v>15 محرم </c:v>
                </c:pt>
                <c:pt idx="23">
                  <c:v>21 محرم</c:v>
                </c:pt>
                <c:pt idx="24">
                  <c:v>27 محرم</c:v>
                </c:pt>
                <c:pt idx="25">
                  <c:v>03 صفر</c:v>
                </c:pt>
                <c:pt idx="26">
                  <c:v>09 صفر</c:v>
                </c:pt>
                <c:pt idx="27">
                  <c:v>15 صفر </c:v>
                </c:pt>
                <c:pt idx="28">
                  <c:v>21 صفر</c:v>
                </c:pt>
                <c:pt idx="29">
                  <c:v>27 صفر</c:v>
                </c:pt>
              </c:strCache>
            </c:strRef>
          </c:cat>
          <c:val>
            <c:numRef>
              <c:f>'Conc.'!$N$4:$N$33</c:f>
              <c:numCache>
                <c:formatCode>0.0</c:formatCode>
                <c:ptCount val="30"/>
                <c:pt idx="0">
                  <c:v>340</c:v>
                </c:pt>
                <c:pt idx="1">
                  <c:v>340</c:v>
                </c:pt>
                <c:pt idx="2">
                  <c:v>340</c:v>
                </c:pt>
                <c:pt idx="3">
                  <c:v>340</c:v>
                </c:pt>
                <c:pt idx="4">
                  <c:v>340</c:v>
                </c:pt>
                <c:pt idx="5">
                  <c:v>340</c:v>
                </c:pt>
                <c:pt idx="6">
                  <c:v>340</c:v>
                </c:pt>
                <c:pt idx="7">
                  <c:v>340</c:v>
                </c:pt>
                <c:pt idx="8">
                  <c:v>340</c:v>
                </c:pt>
                <c:pt idx="9">
                  <c:v>340</c:v>
                </c:pt>
                <c:pt idx="10">
                  <c:v>340</c:v>
                </c:pt>
                <c:pt idx="11">
                  <c:v>340</c:v>
                </c:pt>
                <c:pt idx="12">
                  <c:v>340</c:v>
                </c:pt>
                <c:pt idx="13">
                  <c:v>340</c:v>
                </c:pt>
                <c:pt idx="14">
                  <c:v>340</c:v>
                </c:pt>
                <c:pt idx="15">
                  <c:v>340</c:v>
                </c:pt>
                <c:pt idx="16">
                  <c:v>340</c:v>
                </c:pt>
                <c:pt idx="17">
                  <c:v>340</c:v>
                </c:pt>
                <c:pt idx="18">
                  <c:v>340</c:v>
                </c:pt>
                <c:pt idx="19">
                  <c:v>340</c:v>
                </c:pt>
                <c:pt idx="20">
                  <c:v>340</c:v>
                </c:pt>
                <c:pt idx="21">
                  <c:v>340</c:v>
                </c:pt>
                <c:pt idx="22">
                  <c:v>340</c:v>
                </c:pt>
                <c:pt idx="23">
                  <c:v>340</c:v>
                </c:pt>
                <c:pt idx="24">
                  <c:v>340</c:v>
                </c:pt>
                <c:pt idx="25">
                  <c:v>340</c:v>
                </c:pt>
                <c:pt idx="26">
                  <c:v>340</c:v>
                </c:pt>
                <c:pt idx="27">
                  <c:v>340</c:v>
                </c:pt>
                <c:pt idx="28">
                  <c:v>340</c:v>
                </c:pt>
                <c:pt idx="29">
                  <c:v>340</c:v>
                </c:pt>
              </c:numCache>
            </c:numRef>
          </c:val>
          <c:smooth val="0"/>
          <c:extLst>
            <c:ext xmlns:c16="http://schemas.microsoft.com/office/drawing/2014/chart" uri="{C3380CC4-5D6E-409C-BE32-E72D297353CC}">
              <c16:uniqueId val="{00000004-71DC-47A6-9378-6ED637D8597E}"/>
            </c:ext>
          </c:extLst>
        </c:ser>
        <c:dLbls>
          <c:showLegendKey val="0"/>
          <c:showVal val="0"/>
          <c:showCatName val="0"/>
          <c:showSerName val="0"/>
          <c:showPercent val="0"/>
          <c:showBubbleSize val="0"/>
        </c:dLbls>
        <c:smooth val="0"/>
        <c:axId val="-1216657648"/>
        <c:axId val="-1216657104"/>
      </c:lineChart>
      <c:dateAx>
        <c:axId val="-1216657648"/>
        <c:scaling>
          <c:orientation val="minMax"/>
        </c:scaling>
        <c:delete val="0"/>
        <c:axPos val="b"/>
        <c:numFmt formatCode="General" sourceLinked="0"/>
        <c:majorTickMark val="in"/>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216657104"/>
        <c:crosses val="autoZero"/>
        <c:auto val="0"/>
        <c:lblOffset val="100"/>
        <c:baseTimeUnit val="days"/>
      </c:dateAx>
      <c:valAx>
        <c:axId val="-1216657104"/>
        <c:scaling>
          <c:orientation val="minMax"/>
        </c:scaling>
        <c:delete val="0"/>
        <c:axPos val="l"/>
        <c:title>
          <c:tx>
            <c:rich>
              <a:bodyPr/>
              <a:lstStyle/>
              <a:p>
                <a:pPr>
                  <a:defRPr b="0">
                    <a:latin typeface="Times New Roman" panose="02020603050405020304" pitchFamily="18" charset="0"/>
                    <a:cs typeface="Times New Roman" panose="02020603050405020304" pitchFamily="18" charset="0"/>
                  </a:defRPr>
                </a:pPr>
                <a:r>
                  <a:rPr lang="en-GB" b="0">
                    <a:latin typeface="Times New Roman" panose="02020603050405020304" pitchFamily="18" charset="0"/>
                    <a:cs typeface="Times New Roman" panose="02020603050405020304" pitchFamily="18" charset="0"/>
                  </a:rPr>
                  <a:t>PM</a:t>
                </a:r>
                <a:r>
                  <a:rPr lang="en-GB" b="0" baseline="-25000">
                    <a:latin typeface="Times New Roman" panose="02020603050405020304" pitchFamily="18" charset="0"/>
                    <a:cs typeface="Times New Roman" panose="02020603050405020304" pitchFamily="18" charset="0"/>
                  </a:rPr>
                  <a:t>10</a:t>
                </a:r>
                <a:r>
                  <a:rPr lang="en-GB" b="0">
                    <a:latin typeface="Times New Roman" panose="02020603050405020304" pitchFamily="18" charset="0"/>
                    <a:cs typeface="Times New Roman" panose="02020603050405020304" pitchFamily="18" charset="0"/>
                  </a:rPr>
                  <a:t> (ug/m</a:t>
                </a:r>
                <a:r>
                  <a:rPr lang="en-GB" b="0" baseline="30000">
                    <a:latin typeface="Times New Roman" panose="02020603050405020304" pitchFamily="18" charset="0"/>
                    <a:cs typeface="Times New Roman" panose="02020603050405020304" pitchFamily="18" charset="0"/>
                  </a:rPr>
                  <a:t>3</a:t>
                </a:r>
                <a:r>
                  <a:rPr lang="en-GB" b="0">
                    <a:latin typeface="Times New Roman" panose="02020603050405020304" pitchFamily="18" charset="0"/>
                    <a:cs typeface="Times New Roman" panose="02020603050405020304" pitchFamily="18" charset="0"/>
                  </a:rPr>
                  <a:t>)</a:t>
                </a:r>
              </a:p>
            </c:rich>
          </c:tx>
          <c:overlay val="0"/>
        </c:title>
        <c:numFmt formatCode="0.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216657648"/>
        <c:crosses val="autoZero"/>
        <c:crossBetween val="between"/>
      </c:valAx>
    </c:plotArea>
    <c:legend>
      <c:legendPos val="t"/>
      <c:layout>
        <c:manualLayout>
          <c:xMode val="edge"/>
          <c:yMode val="edge"/>
          <c:x val="0.19151752439784805"/>
          <c:y val="8.4348641049671977E-2"/>
          <c:w val="0.61328170995200182"/>
          <c:h val="5.2996479938601862E-2"/>
        </c:manualLayout>
      </c:layou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'[PM10_RISK ASSESSMENT.xls]Sheet2'!$F$1</c:f>
              <c:strCache>
                <c:ptCount val="1"/>
                <c:pt idx="0">
                  <c:v>SH</c:v>
                </c:pt>
              </c:strCache>
            </c:strRef>
          </c:tx>
          <c:spPr>
            <a:ln>
              <a:prstDash val="sysDash"/>
            </a:ln>
          </c:spPr>
          <c:marker>
            <c:symbol val="none"/>
          </c:marker>
          <c:cat>
            <c:strRef>
              <c:f>'[PM10_RISK ASSESSMENT.xls]Sheet2'!$A$2:$A$31</c:f>
              <c:strCache>
                <c:ptCount val="30"/>
                <c:pt idx="0">
                  <c:v>01 رمضان </c:v>
                </c:pt>
                <c:pt idx="1">
                  <c:v>07 رمضان </c:v>
                </c:pt>
                <c:pt idx="2">
                  <c:v>13 رمضان</c:v>
                </c:pt>
                <c:pt idx="3">
                  <c:v>19 رمضان</c:v>
                </c:pt>
                <c:pt idx="4">
                  <c:v>25 رمضان</c:v>
                </c:pt>
                <c:pt idx="5">
                  <c:v>01 شوال </c:v>
                </c:pt>
                <c:pt idx="6">
                  <c:v>07 شوال </c:v>
                </c:pt>
                <c:pt idx="7">
                  <c:v>13 شوال </c:v>
                </c:pt>
                <c:pt idx="8">
                  <c:v>19 شوال </c:v>
                </c:pt>
                <c:pt idx="9">
                  <c:v>25 شوال </c:v>
                </c:pt>
                <c:pt idx="10">
                  <c:v>01 ذي القعدة </c:v>
                </c:pt>
                <c:pt idx="11">
                  <c:v>07 ذي القعدة </c:v>
                </c:pt>
                <c:pt idx="12">
                  <c:v>13 ذي القعدة </c:v>
                </c:pt>
                <c:pt idx="13">
                  <c:v>19 ذي القعدة </c:v>
                </c:pt>
                <c:pt idx="14">
                  <c:v>25 ذي القعدة </c:v>
                </c:pt>
                <c:pt idx="15">
                  <c:v>02 ذي الحجة </c:v>
                </c:pt>
                <c:pt idx="16">
                  <c:v>08 ذي الحجة </c:v>
                </c:pt>
                <c:pt idx="17">
                  <c:v>14 ذي الحجة</c:v>
                </c:pt>
                <c:pt idx="18">
                  <c:v>20 ذي الحجة </c:v>
                </c:pt>
                <c:pt idx="19">
                  <c:v>26 ذي الحجة </c:v>
                </c:pt>
                <c:pt idx="20">
                  <c:v>03 محرم </c:v>
                </c:pt>
                <c:pt idx="21">
                  <c:v>09 محرم </c:v>
                </c:pt>
                <c:pt idx="22">
                  <c:v>15 محرم </c:v>
                </c:pt>
                <c:pt idx="23">
                  <c:v>21 محرم </c:v>
                </c:pt>
                <c:pt idx="24">
                  <c:v>27 محرم </c:v>
                </c:pt>
                <c:pt idx="25">
                  <c:v>03 صفر</c:v>
                </c:pt>
                <c:pt idx="26">
                  <c:v>09 صفر </c:v>
                </c:pt>
                <c:pt idx="27">
                  <c:v>15 صفر </c:v>
                </c:pt>
                <c:pt idx="28">
                  <c:v>21 صفر </c:v>
                </c:pt>
                <c:pt idx="29">
                  <c:v>27 صفر</c:v>
                </c:pt>
              </c:strCache>
            </c:strRef>
          </c:cat>
          <c:val>
            <c:numRef>
              <c:f>'[PM10_RISK ASSESSMENT.xls]Sheet2'!$F$2:$F$31</c:f>
              <c:numCache>
                <c:formatCode>0.000</c:formatCode>
                <c:ptCount val="30"/>
                <c:pt idx="0">
                  <c:v>8.3040900000000015E-2</c:v>
                </c:pt>
                <c:pt idx="1">
                  <c:v>8.0093400000000009E-2</c:v>
                </c:pt>
                <c:pt idx="2">
                  <c:v>8.8582199999999986E-2</c:v>
                </c:pt>
                <c:pt idx="3">
                  <c:v>7.569179999999999E-2</c:v>
                </c:pt>
                <c:pt idx="4">
                  <c:v>0.11004</c:v>
                </c:pt>
                <c:pt idx="5">
                  <c:v>9.4712999999999992E-2</c:v>
                </c:pt>
                <c:pt idx="6">
                  <c:v>7.8128400000000001E-2</c:v>
                </c:pt>
                <c:pt idx="7">
                  <c:v>7.3137300000000002E-2</c:v>
                </c:pt>
                <c:pt idx="8">
                  <c:v>7.6556400000000011E-2</c:v>
                </c:pt>
                <c:pt idx="9">
                  <c:v>7.7656799999999998E-2</c:v>
                </c:pt>
                <c:pt idx="10">
                  <c:v>0.10162979999999999</c:v>
                </c:pt>
                <c:pt idx="11">
                  <c:v>0.12127979999999999</c:v>
                </c:pt>
                <c:pt idx="12">
                  <c:v>0.12839309999999998</c:v>
                </c:pt>
                <c:pt idx="13">
                  <c:v>0.11098319999999999</c:v>
                </c:pt>
                <c:pt idx="14">
                  <c:v>0.1047738</c:v>
                </c:pt>
                <c:pt idx="15">
                  <c:v>0.118686</c:v>
                </c:pt>
                <c:pt idx="16">
                  <c:v>0.1238736</c:v>
                </c:pt>
                <c:pt idx="17">
                  <c:v>0.13354139999999998</c:v>
                </c:pt>
                <c:pt idx="18">
                  <c:v>0.13487759999999999</c:v>
                </c:pt>
                <c:pt idx="19">
                  <c:v>0.12972929999999999</c:v>
                </c:pt>
                <c:pt idx="20">
                  <c:v>0.1020621</c:v>
                </c:pt>
                <c:pt idx="21">
                  <c:v>8.8621499999999992E-2</c:v>
                </c:pt>
                <c:pt idx="22">
                  <c:v>9.17655E-2</c:v>
                </c:pt>
                <c:pt idx="23">
                  <c:v>8.6381400000000011E-2</c:v>
                </c:pt>
                <c:pt idx="24">
                  <c:v>8.7324599999999974E-2</c:v>
                </c:pt>
                <c:pt idx="25">
                  <c:v>7.8796499999999992E-2</c:v>
                </c:pt>
                <c:pt idx="26">
                  <c:v>7.8796499999999992E-2</c:v>
                </c:pt>
                <c:pt idx="27">
                  <c:v>8.5595400000000016E-2</c:v>
                </c:pt>
                <c:pt idx="28">
                  <c:v>8.3040900000000015E-2</c:v>
                </c:pt>
                <c:pt idx="29">
                  <c:v>9.2158500000000004E-2</c:v>
                </c:pt>
              </c:numCache>
            </c:numRef>
          </c:val>
          <c:smooth val="0"/>
          <c:extLst>
            <c:ext xmlns:c16="http://schemas.microsoft.com/office/drawing/2014/chart" uri="{C3380CC4-5D6E-409C-BE32-E72D297353CC}">
              <c16:uniqueId val="{00000000-80C9-48DB-8BBD-DEA8C660E281}"/>
            </c:ext>
          </c:extLst>
        </c:ser>
        <c:ser>
          <c:idx val="1"/>
          <c:order val="1"/>
          <c:tx>
            <c:strRef>
              <c:f>'[PM10_RISK ASSESSMENT.xls]Sheet2'!$G$1</c:f>
              <c:strCache>
                <c:ptCount val="1"/>
                <c:pt idx="0">
                  <c:v>MS</c:v>
                </c:pt>
              </c:strCache>
            </c:strRef>
          </c:tx>
          <c:spPr>
            <a:ln>
              <a:prstDash val="dashDot"/>
            </a:ln>
          </c:spPr>
          <c:marker>
            <c:symbol val="none"/>
          </c:marker>
          <c:cat>
            <c:strRef>
              <c:f>'[PM10_RISK ASSESSMENT.xls]Sheet2'!$A$2:$A$31</c:f>
              <c:strCache>
                <c:ptCount val="30"/>
                <c:pt idx="0">
                  <c:v>01 رمضان </c:v>
                </c:pt>
                <c:pt idx="1">
                  <c:v>07 رمضان </c:v>
                </c:pt>
                <c:pt idx="2">
                  <c:v>13 رمضان</c:v>
                </c:pt>
                <c:pt idx="3">
                  <c:v>19 رمضان</c:v>
                </c:pt>
                <c:pt idx="4">
                  <c:v>25 رمضان</c:v>
                </c:pt>
                <c:pt idx="5">
                  <c:v>01 شوال </c:v>
                </c:pt>
                <c:pt idx="6">
                  <c:v>07 شوال </c:v>
                </c:pt>
                <c:pt idx="7">
                  <c:v>13 شوال </c:v>
                </c:pt>
                <c:pt idx="8">
                  <c:v>19 شوال </c:v>
                </c:pt>
                <c:pt idx="9">
                  <c:v>25 شوال </c:v>
                </c:pt>
                <c:pt idx="10">
                  <c:v>01 ذي القعدة </c:v>
                </c:pt>
                <c:pt idx="11">
                  <c:v>07 ذي القعدة </c:v>
                </c:pt>
                <c:pt idx="12">
                  <c:v>13 ذي القعدة </c:v>
                </c:pt>
                <c:pt idx="13">
                  <c:v>19 ذي القعدة </c:v>
                </c:pt>
                <c:pt idx="14">
                  <c:v>25 ذي القعدة </c:v>
                </c:pt>
                <c:pt idx="15">
                  <c:v>02 ذي الحجة </c:v>
                </c:pt>
                <c:pt idx="16">
                  <c:v>08 ذي الحجة </c:v>
                </c:pt>
                <c:pt idx="17">
                  <c:v>14 ذي الحجة</c:v>
                </c:pt>
                <c:pt idx="18">
                  <c:v>20 ذي الحجة </c:v>
                </c:pt>
                <c:pt idx="19">
                  <c:v>26 ذي الحجة </c:v>
                </c:pt>
                <c:pt idx="20">
                  <c:v>03 محرم </c:v>
                </c:pt>
                <c:pt idx="21">
                  <c:v>09 محرم </c:v>
                </c:pt>
                <c:pt idx="22">
                  <c:v>15 محرم </c:v>
                </c:pt>
                <c:pt idx="23">
                  <c:v>21 محرم </c:v>
                </c:pt>
                <c:pt idx="24">
                  <c:v>27 محرم </c:v>
                </c:pt>
                <c:pt idx="25">
                  <c:v>03 صفر</c:v>
                </c:pt>
                <c:pt idx="26">
                  <c:v>09 صفر </c:v>
                </c:pt>
                <c:pt idx="27">
                  <c:v>15 صفر </c:v>
                </c:pt>
                <c:pt idx="28">
                  <c:v>21 صفر </c:v>
                </c:pt>
                <c:pt idx="29">
                  <c:v>27 صفر</c:v>
                </c:pt>
              </c:strCache>
            </c:strRef>
          </c:cat>
          <c:val>
            <c:numRef>
              <c:f>'[PM10_RISK ASSESSMENT.xls]Sheet2'!$G$2:$G$31</c:f>
              <c:numCache>
                <c:formatCode>General</c:formatCode>
                <c:ptCount val="30"/>
                <c:pt idx="0">
                  <c:v>7.0111199999999999E-2</c:v>
                </c:pt>
                <c:pt idx="1">
                  <c:v>6.1229399999999996E-2</c:v>
                </c:pt>
                <c:pt idx="2">
                  <c:v>6.4530600000000007E-2</c:v>
                </c:pt>
                <c:pt idx="3">
                  <c:v>6.3272999999999996E-2</c:v>
                </c:pt>
                <c:pt idx="4">
                  <c:v>6.6967199999999991E-2</c:v>
                </c:pt>
                <c:pt idx="5">
                  <c:v>6.1032899999999994E-2</c:v>
                </c:pt>
                <c:pt idx="6">
                  <c:v>6.2683499999999989E-2</c:v>
                </c:pt>
                <c:pt idx="7">
                  <c:v>6.3548099999999996E-2</c:v>
                </c:pt>
                <c:pt idx="8">
                  <c:v>6.6888599999999993E-2</c:v>
                </c:pt>
                <c:pt idx="9">
                  <c:v>5.7220800000000002E-2</c:v>
                </c:pt>
                <c:pt idx="10">
                  <c:v>7.0229099999999989E-2</c:v>
                </c:pt>
                <c:pt idx="11">
                  <c:v>6.8460599999999996E-2</c:v>
                </c:pt>
                <c:pt idx="12">
                  <c:v>7.1447400000000008E-2</c:v>
                </c:pt>
                <c:pt idx="13">
                  <c:v>7.9936199999999999E-2</c:v>
                </c:pt>
                <c:pt idx="14">
                  <c:v>7.6949400000000001E-2</c:v>
                </c:pt>
                <c:pt idx="15">
                  <c:v>8.0722199999999994E-2</c:v>
                </c:pt>
                <c:pt idx="16">
                  <c:v>0.1021407</c:v>
                </c:pt>
                <c:pt idx="17">
                  <c:v>0.1066602</c:v>
                </c:pt>
                <c:pt idx="18">
                  <c:v>9.7817699999999994E-2</c:v>
                </c:pt>
                <c:pt idx="19">
                  <c:v>7.1789309999999995E-2</c:v>
                </c:pt>
                <c:pt idx="20">
                  <c:v>6.6318749999999996E-2</c:v>
                </c:pt>
                <c:pt idx="21">
                  <c:v>6.1028969999999995E-2</c:v>
                </c:pt>
                <c:pt idx="22">
                  <c:v>7.4426339999999994E-2</c:v>
                </c:pt>
                <c:pt idx="23">
                  <c:v>8.3040900000000015E-2</c:v>
                </c:pt>
                <c:pt idx="24">
                  <c:v>6.8433089999999988E-2</c:v>
                </c:pt>
                <c:pt idx="25">
                  <c:v>6.1669559999999998E-2</c:v>
                </c:pt>
                <c:pt idx="26">
                  <c:v>5.7837810000000003E-2</c:v>
                </c:pt>
                <c:pt idx="27">
                  <c:v>6.648380999999999E-2</c:v>
                </c:pt>
                <c:pt idx="28">
                  <c:v>5.6623439999999997E-2</c:v>
                </c:pt>
                <c:pt idx="29">
                  <c:v>5.9767439999999998E-2</c:v>
                </c:pt>
              </c:numCache>
            </c:numRef>
          </c:val>
          <c:smooth val="0"/>
          <c:extLst>
            <c:ext xmlns:c16="http://schemas.microsoft.com/office/drawing/2014/chart" uri="{C3380CC4-5D6E-409C-BE32-E72D297353CC}">
              <c16:uniqueId val="{00000001-80C9-48DB-8BBD-DEA8C660E281}"/>
            </c:ext>
          </c:extLst>
        </c:ser>
        <c:ser>
          <c:idx val="2"/>
          <c:order val="2"/>
          <c:tx>
            <c:strRef>
              <c:f>'[PM10_RISK ASSESSMENT.xls]Sheet2'!$H$1</c:f>
              <c:strCache>
                <c:ptCount val="1"/>
                <c:pt idx="0">
                  <c:v>AZ</c:v>
                </c:pt>
              </c:strCache>
            </c:strRef>
          </c:tx>
          <c:spPr>
            <a:ln>
              <a:solidFill>
                <a:srgbClr val="00B050"/>
              </a:solidFill>
              <a:prstDash val="sysDot"/>
            </a:ln>
          </c:spPr>
          <c:marker>
            <c:symbol val="none"/>
          </c:marker>
          <c:cat>
            <c:strRef>
              <c:f>'[PM10_RISK ASSESSMENT.xls]Sheet2'!$A$2:$A$31</c:f>
              <c:strCache>
                <c:ptCount val="30"/>
                <c:pt idx="0">
                  <c:v>01 رمضان </c:v>
                </c:pt>
                <c:pt idx="1">
                  <c:v>07 رمضان </c:v>
                </c:pt>
                <c:pt idx="2">
                  <c:v>13 رمضان</c:v>
                </c:pt>
                <c:pt idx="3">
                  <c:v>19 رمضان</c:v>
                </c:pt>
                <c:pt idx="4">
                  <c:v>25 رمضان</c:v>
                </c:pt>
                <c:pt idx="5">
                  <c:v>01 شوال </c:v>
                </c:pt>
                <c:pt idx="6">
                  <c:v>07 شوال </c:v>
                </c:pt>
                <c:pt idx="7">
                  <c:v>13 شوال </c:v>
                </c:pt>
                <c:pt idx="8">
                  <c:v>19 شوال </c:v>
                </c:pt>
                <c:pt idx="9">
                  <c:v>25 شوال </c:v>
                </c:pt>
                <c:pt idx="10">
                  <c:v>01 ذي القعدة </c:v>
                </c:pt>
                <c:pt idx="11">
                  <c:v>07 ذي القعدة </c:v>
                </c:pt>
                <c:pt idx="12">
                  <c:v>13 ذي القعدة </c:v>
                </c:pt>
                <c:pt idx="13">
                  <c:v>19 ذي القعدة </c:v>
                </c:pt>
                <c:pt idx="14">
                  <c:v>25 ذي القعدة </c:v>
                </c:pt>
                <c:pt idx="15">
                  <c:v>02 ذي الحجة </c:v>
                </c:pt>
                <c:pt idx="16">
                  <c:v>08 ذي الحجة </c:v>
                </c:pt>
                <c:pt idx="17">
                  <c:v>14 ذي الحجة</c:v>
                </c:pt>
                <c:pt idx="18">
                  <c:v>20 ذي الحجة </c:v>
                </c:pt>
                <c:pt idx="19">
                  <c:v>26 ذي الحجة </c:v>
                </c:pt>
                <c:pt idx="20">
                  <c:v>03 محرم </c:v>
                </c:pt>
                <c:pt idx="21">
                  <c:v>09 محرم </c:v>
                </c:pt>
                <c:pt idx="22">
                  <c:v>15 محرم </c:v>
                </c:pt>
                <c:pt idx="23">
                  <c:v>21 محرم </c:v>
                </c:pt>
                <c:pt idx="24">
                  <c:v>27 محرم </c:v>
                </c:pt>
                <c:pt idx="25">
                  <c:v>03 صفر</c:v>
                </c:pt>
                <c:pt idx="26">
                  <c:v>09 صفر </c:v>
                </c:pt>
                <c:pt idx="27">
                  <c:v>15 صفر </c:v>
                </c:pt>
                <c:pt idx="28">
                  <c:v>21 صفر </c:v>
                </c:pt>
                <c:pt idx="29">
                  <c:v>27 صفر</c:v>
                </c:pt>
              </c:strCache>
            </c:strRef>
          </c:cat>
          <c:val>
            <c:numRef>
              <c:f>'[PM10_RISK ASSESSMENT.xls]Sheet2'!$H$2:$H$31</c:f>
              <c:numCache>
                <c:formatCode>0.000</c:formatCode>
                <c:ptCount val="30"/>
                <c:pt idx="0">
                  <c:v>9.9723749999999986E-2</c:v>
                </c:pt>
                <c:pt idx="1">
                  <c:v>4.1378969999999994E-2</c:v>
                </c:pt>
                <c:pt idx="2">
                  <c:v>7.3196250000000004E-2</c:v>
                </c:pt>
                <c:pt idx="3">
                  <c:v>7.1282339999999986E-2</c:v>
                </c:pt>
                <c:pt idx="4">
                  <c:v>6.2471280000000011E-2</c:v>
                </c:pt>
                <c:pt idx="5">
                  <c:v>8.5233840000000005E-2</c:v>
                </c:pt>
                <c:pt idx="6">
                  <c:v>5.6839589999999988E-2</c:v>
                </c:pt>
                <c:pt idx="7">
                  <c:v>4.3968839999999995E-2</c:v>
                </c:pt>
                <c:pt idx="8">
                  <c:v>4.6130339999999992E-2</c:v>
                </c:pt>
                <c:pt idx="9">
                  <c:v>8.2192019999999991E-2</c:v>
                </c:pt>
                <c:pt idx="10">
                  <c:v>5.079525E-2</c:v>
                </c:pt>
                <c:pt idx="11">
                  <c:v>7.2638189999999991E-2</c:v>
                </c:pt>
                <c:pt idx="12">
                  <c:v>8.2974089999999986E-2</c:v>
                </c:pt>
                <c:pt idx="13">
                  <c:v>8.2152719999999999E-2</c:v>
                </c:pt>
                <c:pt idx="14">
                  <c:v>6.4255499999999993E-2</c:v>
                </c:pt>
                <c:pt idx="15">
                  <c:v>7.453245E-2</c:v>
                </c:pt>
                <c:pt idx="16">
                  <c:v>6.3029339999999989E-2</c:v>
                </c:pt>
                <c:pt idx="17">
                  <c:v>7.206048000000001E-2</c:v>
                </c:pt>
                <c:pt idx="18">
                  <c:v>6.6236219999999998E-2</c:v>
                </c:pt>
                <c:pt idx="19">
                  <c:v>5.2614839999999989E-2</c:v>
                </c:pt>
                <c:pt idx="20">
                  <c:v>6.2357309999999999E-2</c:v>
                </c:pt>
                <c:pt idx="21">
                  <c:v>5.6198999999999999E-2</c:v>
                </c:pt>
                <c:pt idx="22">
                  <c:v>3.6328919999999994E-2</c:v>
                </c:pt>
                <c:pt idx="23">
                  <c:v>5.3377259999999996E-2</c:v>
                </c:pt>
                <c:pt idx="24">
                  <c:v>4.314747E-2</c:v>
                </c:pt>
                <c:pt idx="25">
                  <c:v>3.7955940000000007E-2</c:v>
                </c:pt>
                <c:pt idx="26">
                  <c:v>7.1172299999999994E-2</c:v>
                </c:pt>
                <c:pt idx="27">
                  <c:v>6.5552400000000011E-2</c:v>
                </c:pt>
                <c:pt idx="28">
                  <c:v>6.19368E-2</c:v>
                </c:pt>
                <c:pt idx="29">
                  <c:v>6.68493E-2</c:v>
                </c:pt>
              </c:numCache>
            </c:numRef>
          </c:val>
          <c:smooth val="0"/>
          <c:extLst>
            <c:ext xmlns:c16="http://schemas.microsoft.com/office/drawing/2014/chart" uri="{C3380CC4-5D6E-409C-BE32-E72D297353CC}">
              <c16:uniqueId val="{00000002-80C9-48DB-8BBD-DEA8C660E281}"/>
            </c:ext>
          </c:extLst>
        </c:ser>
        <c:ser>
          <c:idx val="3"/>
          <c:order val="3"/>
          <c:tx>
            <c:strRef>
              <c:f>'[PM10_RISK ASSESSMENT.xls]Sheet2'!$I$1</c:f>
              <c:strCache>
                <c:ptCount val="1"/>
                <c:pt idx="0">
                  <c:v>AW</c:v>
                </c:pt>
              </c:strCache>
            </c:strRef>
          </c:tx>
          <c:marker>
            <c:symbol val="none"/>
          </c:marker>
          <c:cat>
            <c:strRef>
              <c:f>'[PM10_RISK ASSESSMENT.xls]Sheet2'!$A$2:$A$31</c:f>
              <c:strCache>
                <c:ptCount val="30"/>
                <c:pt idx="0">
                  <c:v>01 رمضان </c:v>
                </c:pt>
                <c:pt idx="1">
                  <c:v>07 رمضان </c:v>
                </c:pt>
                <c:pt idx="2">
                  <c:v>13 رمضان</c:v>
                </c:pt>
                <c:pt idx="3">
                  <c:v>19 رمضان</c:v>
                </c:pt>
                <c:pt idx="4">
                  <c:v>25 رمضان</c:v>
                </c:pt>
                <c:pt idx="5">
                  <c:v>01 شوال </c:v>
                </c:pt>
                <c:pt idx="6">
                  <c:v>07 شوال </c:v>
                </c:pt>
                <c:pt idx="7">
                  <c:v>13 شوال </c:v>
                </c:pt>
                <c:pt idx="8">
                  <c:v>19 شوال </c:v>
                </c:pt>
                <c:pt idx="9">
                  <c:v>25 شوال </c:v>
                </c:pt>
                <c:pt idx="10">
                  <c:v>01 ذي القعدة </c:v>
                </c:pt>
                <c:pt idx="11">
                  <c:v>07 ذي القعدة </c:v>
                </c:pt>
                <c:pt idx="12">
                  <c:v>13 ذي القعدة </c:v>
                </c:pt>
                <c:pt idx="13">
                  <c:v>19 ذي القعدة </c:v>
                </c:pt>
                <c:pt idx="14">
                  <c:v>25 ذي القعدة </c:v>
                </c:pt>
                <c:pt idx="15">
                  <c:v>02 ذي الحجة </c:v>
                </c:pt>
                <c:pt idx="16">
                  <c:v>08 ذي الحجة </c:v>
                </c:pt>
                <c:pt idx="17">
                  <c:v>14 ذي الحجة</c:v>
                </c:pt>
                <c:pt idx="18">
                  <c:v>20 ذي الحجة </c:v>
                </c:pt>
                <c:pt idx="19">
                  <c:v>26 ذي الحجة </c:v>
                </c:pt>
                <c:pt idx="20">
                  <c:v>03 محرم </c:v>
                </c:pt>
                <c:pt idx="21">
                  <c:v>09 محرم </c:v>
                </c:pt>
                <c:pt idx="22">
                  <c:v>15 محرم </c:v>
                </c:pt>
                <c:pt idx="23">
                  <c:v>21 محرم </c:v>
                </c:pt>
                <c:pt idx="24">
                  <c:v>27 محرم </c:v>
                </c:pt>
                <c:pt idx="25">
                  <c:v>03 صفر</c:v>
                </c:pt>
                <c:pt idx="26">
                  <c:v>09 صفر </c:v>
                </c:pt>
                <c:pt idx="27">
                  <c:v>15 صفر </c:v>
                </c:pt>
                <c:pt idx="28">
                  <c:v>21 صفر </c:v>
                </c:pt>
                <c:pt idx="29">
                  <c:v>27 صفر</c:v>
                </c:pt>
              </c:strCache>
            </c:strRef>
          </c:cat>
          <c:val>
            <c:numRef>
              <c:f>'[PM10_RISK ASSESSMENT.xls]Sheet2'!$I$2:$I$31</c:f>
              <c:numCache>
                <c:formatCode>0.000</c:formatCode>
                <c:ptCount val="30"/>
                <c:pt idx="0">
                  <c:v>2.0121600000000003E-2</c:v>
                </c:pt>
                <c:pt idx="1">
                  <c:v>1.90998E-2</c:v>
                </c:pt>
                <c:pt idx="2">
                  <c:v>1.7488500000000001E-2</c:v>
                </c:pt>
                <c:pt idx="3">
                  <c:v>1.8392399999999996E-2</c:v>
                </c:pt>
                <c:pt idx="4">
                  <c:v>1.9964399999999997E-2</c:v>
                </c:pt>
                <c:pt idx="5">
                  <c:v>2.2204499999999999E-2</c:v>
                </c:pt>
                <c:pt idx="6">
                  <c:v>2.1143399999999993E-2</c:v>
                </c:pt>
                <c:pt idx="7">
                  <c:v>1.9060499999999998E-2</c:v>
                </c:pt>
                <c:pt idx="8">
                  <c:v>1.8274499999999999E-2</c:v>
                </c:pt>
                <c:pt idx="9">
                  <c:v>2.1104100000000004E-2</c:v>
                </c:pt>
                <c:pt idx="10">
                  <c:v>2.0082299999999997E-2</c:v>
                </c:pt>
                <c:pt idx="11">
                  <c:v>2.41695E-2</c:v>
                </c:pt>
                <c:pt idx="12">
                  <c:v>2.1536399999999994E-2</c:v>
                </c:pt>
                <c:pt idx="13">
                  <c:v>1.85103E-2</c:v>
                </c:pt>
                <c:pt idx="14">
                  <c:v>2.53485E-2</c:v>
                </c:pt>
                <c:pt idx="15">
                  <c:v>2.2833299999999997E-2</c:v>
                </c:pt>
                <c:pt idx="16">
                  <c:v>4.7081399999999995E-2</c:v>
                </c:pt>
                <c:pt idx="17">
                  <c:v>2.5230600000000002E-2</c:v>
                </c:pt>
                <c:pt idx="18">
                  <c:v>2.0789699999999998E-2</c:v>
                </c:pt>
                <c:pt idx="19">
                  <c:v>2.3953349999999998E-2</c:v>
                </c:pt>
                <c:pt idx="20">
                  <c:v>2.3187000000000041E-2</c:v>
                </c:pt>
                <c:pt idx="21">
                  <c:v>2.4051599999999999E-2</c:v>
                </c:pt>
                <c:pt idx="22">
                  <c:v>1.7606399999999998E-2</c:v>
                </c:pt>
                <c:pt idx="23">
                  <c:v>1.96893E-2</c:v>
                </c:pt>
                <c:pt idx="24">
                  <c:v>1.8785399999999997E-2</c:v>
                </c:pt>
                <c:pt idx="25">
                  <c:v>2.0121600000000003E-2</c:v>
                </c:pt>
                <c:pt idx="26">
                  <c:v>1.9217700000000001E-2</c:v>
                </c:pt>
                <c:pt idx="27">
                  <c:v>2.3619299999999999E-2</c:v>
                </c:pt>
                <c:pt idx="28">
                  <c:v>2.0593199999999999E-2</c:v>
                </c:pt>
                <c:pt idx="29">
                  <c:v>1.9492799999999998E-2</c:v>
                </c:pt>
              </c:numCache>
            </c:numRef>
          </c:val>
          <c:smooth val="0"/>
          <c:extLst>
            <c:ext xmlns:c16="http://schemas.microsoft.com/office/drawing/2014/chart" uri="{C3380CC4-5D6E-409C-BE32-E72D297353CC}">
              <c16:uniqueId val="{00000003-80C9-48DB-8BBD-DEA8C660E281}"/>
            </c:ext>
          </c:extLst>
        </c:ser>
        <c:dLbls>
          <c:showLegendKey val="0"/>
          <c:showVal val="0"/>
          <c:showCatName val="0"/>
          <c:showSerName val="0"/>
          <c:showPercent val="0"/>
          <c:showBubbleSize val="0"/>
        </c:dLbls>
        <c:smooth val="0"/>
        <c:axId val="-1216654384"/>
        <c:axId val="-1216653840"/>
      </c:lineChart>
      <c:catAx>
        <c:axId val="-1216654384"/>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1216653840"/>
        <c:crosses val="autoZero"/>
        <c:auto val="1"/>
        <c:lblAlgn val="ctr"/>
        <c:lblOffset val="100"/>
        <c:noMultiLvlLbl val="0"/>
      </c:catAx>
      <c:valAx>
        <c:axId val="-1216653840"/>
        <c:scaling>
          <c:orientation val="minMax"/>
        </c:scaling>
        <c:delete val="0"/>
        <c:axPos val="l"/>
        <c:title>
          <c:tx>
            <c:rich>
              <a:bodyPr/>
              <a:lstStyle/>
              <a:p>
                <a:pPr>
                  <a:defRPr sz="1000" b="0">
                    <a:latin typeface="Times New Roman" panose="02020603050405020304" pitchFamily="18" charset="0"/>
                    <a:cs typeface="Times New Roman" panose="02020603050405020304" pitchFamily="18" charset="0"/>
                  </a:defRPr>
                </a:pPr>
                <a:r>
                  <a:rPr lang="en-GB" sz="1000" b="0">
                    <a:latin typeface="Times New Roman" panose="02020603050405020304" pitchFamily="18" charset="0"/>
                    <a:cs typeface="Times New Roman" panose="02020603050405020304" pitchFamily="18" charset="0"/>
                  </a:rPr>
                  <a:t>Inhalation</a:t>
                </a:r>
                <a:r>
                  <a:rPr lang="en-GB" sz="1000" b="0" baseline="0">
                    <a:latin typeface="Times New Roman" panose="02020603050405020304" pitchFamily="18" charset="0"/>
                    <a:cs typeface="Times New Roman" panose="02020603050405020304" pitchFamily="18" charset="0"/>
                  </a:rPr>
                  <a:t> Dose (mg/kg-day)</a:t>
                </a:r>
                <a:endParaRPr lang="en-GB" sz="1000" b="0">
                  <a:latin typeface="Times New Roman" panose="02020603050405020304" pitchFamily="18" charset="0"/>
                  <a:cs typeface="Times New Roman" panose="02020603050405020304" pitchFamily="18" charset="0"/>
                </a:endParaRPr>
              </a:p>
            </c:rich>
          </c:tx>
          <c:overlay val="0"/>
        </c:title>
        <c:numFmt formatCode="0.000" sourceLinked="1"/>
        <c:majorTickMark val="none"/>
        <c:minorTickMark val="none"/>
        <c:tickLblPos val="nextTo"/>
        <c:crossAx val="-1216654384"/>
        <c:crosses val="autoZero"/>
        <c:crossBetween val="between"/>
      </c:valAx>
    </c:plotArea>
    <c:legend>
      <c:legendPos val="t"/>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'[PM10_RISK ASSESSMENT.xls]Sheet2'!$B$1</c:f>
              <c:strCache>
                <c:ptCount val="1"/>
                <c:pt idx="0">
                  <c:v>SH</c:v>
                </c:pt>
              </c:strCache>
            </c:strRef>
          </c:tx>
          <c:spPr>
            <a:ln>
              <a:prstDash val="sysDash"/>
            </a:ln>
          </c:spPr>
          <c:marker>
            <c:symbol val="none"/>
          </c:marker>
          <c:cat>
            <c:strRef>
              <c:f>'[PM10_RISK ASSESSMENT.xls]Sheet2'!$A$2:$A$31</c:f>
              <c:strCache>
                <c:ptCount val="30"/>
                <c:pt idx="0">
                  <c:v>01 رمضان </c:v>
                </c:pt>
                <c:pt idx="1">
                  <c:v>07 رمضان </c:v>
                </c:pt>
                <c:pt idx="2">
                  <c:v>13 رمضان</c:v>
                </c:pt>
                <c:pt idx="3">
                  <c:v>19 رمضان</c:v>
                </c:pt>
                <c:pt idx="4">
                  <c:v>25 رمضان</c:v>
                </c:pt>
                <c:pt idx="5">
                  <c:v>01 شوال </c:v>
                </c:pt>
                <c:pt idx="6">
                  <c:v>07 شوال </c:v>
                </c:pt>
                <c:pt idx="7">
                  <c:v>13 شوال </c:v>
                </c:pt>
                <c:pt idx="8">
                  <c:v>19 شوال </c:v>
                </c:pt>
                <c:pt idx="9">
                  <c:v>25 شوال </c:v>
                </c:pt>
                <c:pt idx="10">
                  <c:v>01 ذي القعدة </c:v>
                </c:pt>
                <c:pt idx="11">
                  <c:v>07 ذي القعدة </c:v>
                </c:pt>
                <c:pt idx="12">
                  <c:v>13 ذي القعدة </c:v>
                </c:pt>
                <c:pt idx="13">
                  <c:v>19 ذي القعدة </c:v>
                </c:pt>
                <c:pt idx="14">
                  <c:v>25 ذي القعدة </c:v>
                </c:pt>
                <c:pt idx="15">
                  <c:v>02 ذي الحجة </c:v>
                </c:pt>
                <c:pt idx="16">
                  <c:v>08 ذي الحجة </c:v>
                </c:pt>
                <c:pt idx="17">
                  <c:v>14 ذي الحجة</c:v>
                </c:pt>
                <c:pt idx="18">
                  <c:v>20 ذي الحجة </c:v>
                </c:pt>
                <c:pt idx="19">
                  <c:v>26 ذي الحجة </c:v>
                </c:pt>
                <c:pt idx="20">
                  <c:v>03 محرم </c:v>
                </c:pt>
                <c:pt idx="21">
                  <c:v>09 محرم </c:v>
                </c:pt>
                <c:pt idx="22">
                  <c:v>15 محرم </c:v>
                </c:pt>
                <c:pt idx="23">
                  <c:v>21 محرم </c:v>
                </c:pt>
                <c:pt idx="24">
                  <c:v>27 محرم </c:v>
                </c:pt>
                <c:pt idx="25">
                  <c:v>03 صفر</c:v>
                </c:pt>
                <c:pt idx="26">
                  <c:v>09 صفر </c:v>
                </c:pt>
                <c:pt idx="27">
                  <c:v>15 صفر </c:v>
                </c:pt>
                <c:pt idx="28">
                  <c:v>21 صفر </c:v>
                </c:pt>
                <c:pt idx="29">
                  <c:v>27 صفر</c:v>
                </c:pt>
              </c:strCache>
            </c:strRef>
          </c:cat>
          <c:val>
            <c:numRef>
              <c:f>'[PM10_RISK ASSESSMENT.xls]Sheet2'!$B$2:$B$31</c:f>
              <c:numCache>
                <c:formatCode>0.000</c:formatCode>
                <c:ptCount val="30"/>
                <c:pt idx="0">
                  <c:v>9.117890820000002E-2</c:v>
                </c:pt>
                <c:pt idx="1">
                  <c:v>8.7942553200000023E-2</c:v>
                </c:pt>
                <c:pt idx="2">
                  <c:v>9.7263255599999987E-2</c:v>
                </c:pt>
                <c:pt idx="3">
                  <c:v>8.3109596399999999E-2</c:v>
                </c:pt>
                <c:pt idx="4">
                  <c:v>0.12082392000000002</c:v>
                </c:pt>
                <c:pt idx="5">
                  <c:v>0.103994874</c:v>
                </c:pt>
                <c:pt idx="6">
                  <c:v>8.5784983200000012E-2</c:v>
                </c:pt>
                <c:pt idx="7">
                  <c:v>8.0304755400000011E-2</c:v>
                </c:pt>
                <c:pt idx="8">
                  <c:v>8.4058927200000022E-2</c:v>
                </c:pt>
                <c:pt idx="9">
                  <c:v>8.5267166400000011E-2</c:v>
                </c:pt>
                <c:pt idx="10">
                  <c:v>0.1115895204</c:v>
                </c:pt>
                <c:pt idx="11">
                  <c:v>0.13316522040000001</c:v>
                </c:pt>
                <c:pt idx="12">
                  <c:v>0.14097562380000001</c:v>
                </c:pt>
                <c:pt idx="13">
                  <c:v>0.1218595536</c:v>
                </c:pt>
                <c:pt idx="14">
                  <c:v>0.11504163240000001</c:v>
                </c:pt>
                <c:pt idx="15">
                  <c:v>0.13031722800000001</c:v>
                </c:pt>
                <c:pt idx="16">
                  <c:v>0.13601321280000001</c:v>
                </c:pt>
                <c:pt idx="17">
                  <c:v>0.14662845719999998</c:v>
                </c:pt>
                <c:pt idx="18">
                  <c:v>0.1480956048</c:v>
                </c:pt>
                <c:pt idx="19">
                  <c:v>0.1424427714</c:v>
                </c:pt>
                <c:pt idx="20">
                  <c:v>0.11206418580000001</c:v>
                </c:pt>
                <c:pt idx="21">
                  <c:v>9.7306406999999998E-2</c:v>
                </c:pt>
                <c:pt idx="22">
                  <c:v>0.100758519</c:v>
                </c:pt>
                <c:pt idx="23">
                  <c:v>9.4846777200000024E-2</c:v>
                </c:pt>
                <c:pt idx="24">
                  <c:v>9.5882410799999984E-2</c:v>
                </c:pt>
                <c:pt idx="25">
                  <c:v>8.6518556999999996E-2</c:v>
                </c:pt>
                <c:pt idx="26">
                  <c:v>8.6518556999999996E-2</c:v>
                </c:pt>
                <c:pt idx="27">
                  <c:v>9.3983749200000022E-2</c:v>
                </c:pt>
                <c:pt idx="28">
                  <c:v>9.117890820000002E-2</c:v>
                </c:pt>
                <c:pt idx="29">
                  <c:v>0.10119003300000001</c:v>
                </c:pt>
              </c:numCache>
            </c:numRef>
          </c:val>
          <c:smooth val="0"/>
          <c:extLst>
            <c:ext xmlns:c16="http://schemas.microsoft.com/office/drawing/2014/chart" uri="{C3380CC4-5D6E-409C-BE32-E72D297353CC}">
              <c16:uniqueId val="{00000000-CE13-4234-AD84-E60E0791EB1C}"/>
            </c:ext>
          </c:extLst>
        </c:ser>
        <c:ser>
          <c:idx val="1"/>
          <c:order val="1"/>
          <c:tx>
            <c:strRef>
              <c:f>'[PM10_RISK ASSESSMENT.xls]Sheet2'!$C$1</c:f>
              <c:strCache>
                <c:ptCount val="1"/>
                <c:pt idx="0">
                  <c:v>MS</c:v>
                </c:pt>
              </c:strCache>
            </c:strRef>
          </c:tx>
          <c:spPr>
            <a:ln>
              <a:solidFill>
                <a:srgbClr val="FF0000"/>
              </a:solidFill>
              <a:prstDash val="dashDot"/>
            </a:ln>
          </c:spPr>
          <c:marker>
            <c:symbol val="none"/>
          </c:marker>
          <c:cat>
            <c:strRef>
              <c:f>'[PM10_RISK ASSESSMENT.xls]Sheet2'!$A$2:$A$31</c:f>
              <c:strCache>
                <c:ptCount val="30"/>
                <c:pt idx="0">
                  <c:v>01 رمضان </c:v>
                </c:pt>
                <c:pt idx="1">
                  <c:v>07 رمضان </c:v>
                </c:pt>
                <c:pt idx="2">
                  <c:v>13 رمضان</c:v>
                </c:pt>
                <c:pt idx="3">
                  <c:v>19 رمضان</c:v>
                </c:pt>
                <c:pt idx="4">
                  <c:v>25 رمضان</c:v>
                </c:pt>
                <c:pt idx="5">
                  <c:v>01 شوال </c:v>
                </c:pt>
                <c:pt idx="6">
                  <c:v>07 شوال </c:v>
                </c:pt>
                <c:pt idx="7">
                  <c:v>13 شوال </c:v>
                </c:pt>
                <c:pt idx="8">
                  <c:v>19 شوال </c:v>
                </c:pt>
                <c:pt idx="9">
                  <c:v>25 شوال </c:v>
                </c:pt>
                <c:pt idx="10">
                  <c:v>01 ذي القعدة </c:v>
                </c:pt>
                <c:pt idx="11">
                  <c:v>07 ذي القعدة </c:v>
                </c:pt>
                <c:pt idx="12">
                  <c:v>13 ذي القعدة </c:v>
                </c:pt>
                <c:pt idx="13">
                  <c:v>19 ذي القعدة </c:v>
                </c:pt>
                <c:pt idx="14">
                  <c:v>25 ذي القعدة </c:v>
                </c:pt>
                <c:pt idx="15">
                  <c:v>02 ذي الحجة </c:v>
                </c:pt>
                <c:pt idx="16">
                  <c:v>08 ذي الحجة </c:v>
                </c:pt>
                <c:pt idx="17">
                  <c:v>14 ذي الحجة</c:v>
                </c:pt>
                <c:pt idx="18">
                  <c:v>20 ذي الحجة </c:v>
                </c:pt>
                <c:pt idx="19">
                  <c:v>26 ذي الحجة </c:v>
                </c:pt>
                <c:pt idx="20">
                  <c:v>03 محرم </c:v>
                </c:pt>
                <c:pt idx="21">
                  <c:v>09 محرم </c:v>
                </c:pt>
                <c:pt idx="22">
                  <c:v>15 محرم </c:v>
                </c:pt>
                <c:pt idx="23">
                  <c:v>21 محرم </c:v>
                </c:pt>
                <c:pt idx="24">
                  <c:v>27 محرم </c:v>
                </c:pt>
                <c:pt idx="25">
                  <c:v>03 صفر</c:v>
                </c:pt>
                <c:pt idx="26">
                  <c:v>09 صفر </c:v>
                </c:pt>
                <c:pt idx="27">
                  <c:v>15 صفر </c:v>
                </c:pt>
                <c:pt idx="28">
                  <c:v>21 صفر </c:v>
                </c:pt>
                <c:pt idx="29">
                  <c:v>27 صفر</c:v>
                </c:pt>
              </c:strCache>
            </c:strRef>
          </c:cat>
          <c:val>
            <c:numRef>
              <c:f>'[PM10_RISK ASSESSMENT.xls]Sheet2'!$C$2:$C$31</c:f>
              <c:numCache>
                <c:formatCode>General</c:formatCode>
                <c:ptCount val="30"/>
                <c:pt idx="0">
                  <c:v>7.0111199999999999E-2</c:v>
                </c:pt>
                <c:pt idx="1">
                  <c:v>6.1229399999999996E-2</c:v>
                </c:pt>
                <c:pt idx="2">
                  <c:v>6.4530600000000007E-2</c:v>
                </c:pt>
                <c:pt idx="3">
                  <c:v>6.3272999999999996E-2</c:v>
                </c:pt>
                <c:pt idx="4">
                  <c:v>6.6967199999999991E-2</c:v>
                </c:pt>
                <c:pt idx="5">
                  <c:v>6.1032899999999994E-2</c:v>
                </c:pt>
                <c:pt idx="6">
                  <c:v>6.2683499999999989E-2</c:v>
                </c:pt>
                <c:pt idx="7">
                  <c:v>6.3548099999999996E-2</c:v>
                </c:pt>
                <c:pt idx="8">
                  <c:v>6.6888599999999993E-2</c:v>
                </c:pt>
                <c:pt idx="9">
                  <c:v>5.7220800000000002E-2</c:v>
                </c:pt>
                <c:pt idx="10">
                  <c:v>7.0229099999999989E-2</c:v>
                </c:pt>
                <c:pt idx="11">
                  <c:v>6.8460599999999996E-2</c:v>
                </c:pt>
                <c:pt idx="12">
                  <c:v>7.1447400000000008E-2</c:v>
                </c:pt>
                <c:pt idx="13">
                  <c:v>7.9936199999999999E-2</c:v>
                </c:pt>
                <c:pt idx="14">
                  <c:v>7.6949400000000001E-2</c:v>
                </c:pt>
                <c:pt idx="15">
                  <c:v>8.0722199999999994E-2</c:v>
                </c:pt>
                <c:pt idx="16">
                  <c:v>0.1021407</c:v>
                </c:pt>
                <c:pt idx="17">
                  <c:v>0.1066602</c:v>
                </c:pt>
                <c:pt idx="18">
                  <c:v>9.7817699999999994E-2</c:v>
                </c:pt>
                <c:pt idx="19">
                  <c:v>7.1789309999999995E-2</c:v>
                </c:pt>
                <c:pt idx="20">
                  <c:v>6.6318749999999996E-2</c:v>
                </c:pt>
                <c:pt idx="21">
                  <c:v>6.1028969999999995E-2</c:v>
                </c:pt>
                <c:pt idx="22">
                  <c:v>7.4426339999999994E-2</c:v>
                </c:pt>
                <c:pt idx="23">
                  <c:v>8.3040900000000015E-2</c:v>
                </c:pt>
                <c:pt idx="24">
                  <c:v>6.8433089999999988E-2</c:v>
                </c:pt>
                <c:pt idx="25">
                  <c:v>6.1669559999999998E-2</c:v>
                </c:pt>
                <c:pt idx="26">
                  <c:v>5.7837810000000003E-2</c:v>
                </c:pt>
                <c:pt idx="27">
                  <c:v>6.648380999999999E-2</c:v>
                </c:pt>
                <c:pt idx="28">
                  <c:v>5.6623439999999997E-2</c:v>
                </c:pt>
                <c:pt idx="29">
                  <c:v>5.9767439999999998E-2</c:v>
                </c:pt>
              </c:numCache>
            </c:numRef>
          </c:val>
          <c:smooth val="0"/>
          <c:extLst>
            <c:ext xmlns:c16="http://schemas.microsoft.com/office/drawing/2014/chart" uri="{C3380CC4-5D6E-409C-BE32-E72D297353CC}">
              <c16:uniqueId val="{00000001-CE13-4234-AD84-E60E0791EB1C}"/>
            </c:ext>
          </c:extLst>
        </c:ser>
        <c:ser>
          <c:idx val="2"/>
          <c:order val="2"/>
          <c:tx>
            <c:strRef>
              <c:f>'[PM10_RISK ASSESSMENT.xls]Sheet2'!$D$1</c:f>
              <c:strCache>
                <c:ptCount val="1"/>
                <c:pt idx="0">
                  <c:v>AZ</c:v>
                </c:pt>
              </c:strCache>
            </c:strRef>
          </c:tx>
          <c:spPr>
            <a:ln>
              <a:solidFill>
                <a:srgbClr val="00B050"/>
              </a:solidFill>
              <a:prstDash val="sysDot"/>
            </a:ln>
          </c:spPr>
          <c:marker>
            <c:symbol val="none"/>
          </c:marker>
          <c:cat>
            <c:strRef>
              <c:f>'[PM10_RISK ASSESSMENT.xls]Sheet2'!$A$2:$A$31</c:f>
              <c:strCache>
                <c:ptCount val="30"/>
                <c:pt idx="0">
                  <c:v>01 رمضان </c:v>
                </c:pt>
                <c:pt idx="1">
                  <c:v>07 رمضان </c:v>
                </c:pt>
                <c:pt idx="2">
                  <c:v>13 رمضان</c:v>
                </c:pt>
                <c:pt idx="3">
                  <c:v>19 رمضان</c:v>
                </c:pt>
                <c:pt idx="4">
                  <c:v>25 رمضان</c:v>
                </c:pt>
                <c:pt idx="5">
                  <c:v>01 شوال </c:v>
                </c:pt>
                <c:pt idx="6">
                  <c:v>07 شوال </c:v>
                </c:pt>
                <c:pt idx="7">
                  <c:v>13 شوال </c:v>
                </c:pt>
                <c:pt idx="8">
                  <c:v>19 شوال </c:v>
                </c:pt>
                <c:pt idx="9">
                  <c:v>25 شوال </c:v>
                </c:pt>
                <c:pt idx="10">
                  <c:v>01 ذي القعدة </c:v>
                </c:pt>
                <c:pt idx="11">
                  <c:v>07 ذي القعدة </c:v>
                </c:pt>
                <c:pt idx="12">
                  <c:v>13 ذي القعدة </c:v>
                </c:pt>
                <c:pt idx="13">
                  <c:v>19 ذي القعدة </c:v>
                </c:pt>
                <c:pt idx="14">
                  <c:v>25 ذي القعدة </c:v>
                </c:pt>
                <c:pt idx="15">
                  <c:v>02 ذي الحجة </c:v>
                </c:pt>
                <c:pt idx="16">
                  <c:v>08 ذي الحجة </c:v>
                </c:pt>
                <c:pt idx="17">
                  <c:v>14 ذي الحجة</c:v>
                </c:pt>
                <c:pt idx="18">
                  <c:v>20 ذي الحجة </c:v>
                </c:pt>
                <c:pt idx="19">
                  <c:v>26 ذي الحجة </c:v>
                </c:pt>
                <c:pt idx="20">
                  <c:v>03 محرم </c:v>
                </c:pt>
                <c:pt idx="21">
                  <c:v>09 محرم </c:v>
                </c:pt>
                <c:pt idx="22">
                  <c:v>15 محرم </c:v>
                </c:pt>
                <c:pt idx="23">
                  <c:v>21 محرم </c:v>
                </c:pt>
                <c:pt idx="24">
                  <c:v>27 محرم </c:v>
                </c:pt>
                <c:pt idx="25">
                  <c:v>03 صفر</c:v>
                </c:pt>
                <c:pt idx="26">
                  <c:v>09 صفر </c:v>
                </c:pt>
                <c:pt idx="27">
                  <c:v>15 صفر </c:v>
                </c:pt>
                <c:pt idx="28">
                  <c:v>21 صفر </c:v>
                </c:pt>
                <c:pt idx="29">
                  <c:v>27 صفر</c:v>
                </c:pt>
              </c:strCache>
            </c:strRef>
          </c:cat>
          <c:val>
            <c:numRef>
              <c:f>'[PM10_RISK ASSESSMENT.xls]Sheet2'!$D$2:$D$31</c:f>
              <c:numCache>
                <c:formatCode>0.000</c:formatCode>
                <c:ptCount val="30"/>
                <c:pt idx="0">
                  <c:v>9.9723749999999986E-2</c:v>
                </c:pt>
                <c:pt idx="1">
                  <c:v>4.1378969999999994E-2</c:v>
                </c:pt>
                <c:pt idx="2">
                  <c:v>7.3196250000000004E-2</c:v>
                </c:pt>
                <c:pt idx="3">
                  <c:v>7.1282339999999986E-2</c:v>
                </c:pt>
                <c:pt idx="4">
                  <c:v>6.2471280000000011E-2</c:v>
                </c:pt>
                <c:pt idx="5">
                  <c:v>8.5233840000000005E-2</c:v>
                </c:pt>
                <c:pt idx="6">
                  <c:v>5.6839589999999988E-2</c:v>
                </c:pt>
                <c:pt idx="7">
                  <c:v>4.3968839999999995E-2</c:v>
                </c:pt>
                <c:pt idx="8">
                  <c:v>4.6130339999999992E-2</c:v>
                </c:pt>
                <c:pt idx="9">
                  <c:v>8.2192019999999991E-2</c:v>
                </c:pt>
                <c:pt idx="10">
                  <c:v>5.079525E-2</c:v>
                </c:pt>
                <c:pt idx="11">
                  <c:v>7.2638189999999991E-2</c:v>
                </c:pt>
                <c:pt idx="12">
                  <c:v>8.2974089999999986E-2</c:v>
                </c:pt>
                <c:pt idx="13">
                  <c:v>8.2152719999999999E-2</c:v>
                </c:pt>
                <c:pt idx="14">
                  <c:v>6.4255499999999993E-2</c:v>
                </c:pt>
                <c:pt idx="15">
                  <c:v>7.453245E-2</c:v>
                </c:pt>
                <c:pt idx="16">
                  <c:v>6.3029339999999989E-2</c:v>
                </c:pt>
                <c:pt idx="17">
                  <c:v>7.206048000000001E-2</c:v>
                </c:pt>
                <c:pt idx="18">
                  <c:v>6.6236219999999998E-2</c:v>
                </c:pt>
                <c:pt idx="19">
                  <c:v>5.2614839999999989E-2</c:v>
                </c:pt>
                <c:pt idx="20">
                  <c:v>6.2357309999999999E-2</c:v>
                </c:pt>
                <c:pt idx="21">
                  <c:v>5.6198999999999999E-2</c:v>
                </c:pt>
                <c:pt idx="22">
                  <c:v>3.6328919999999994E-2</c:v>
                </c:pt>
                <c:pt idx="23">
                  <c:v>5.3377259999999996E-2</c:v>
                </c:pt>
                <c:pt idx="24">
                  <c:v>4.314747E-2</c:v>
                </c:pt>
                <c:pt idx="25">
                  <c:v>3.7955940000000007E-2</c:v>
                </c:pt>
                <c:pt idx="26">
                  <c:v>7.1172299999999994E-2</c:v>
                </c:pt>
                <c:pt idx="27">
                  <c:v>6.5552400000000011E-2</c:v>
                </c:pt>
                <c:pt idx="28">
                  <c:v>6.19368E-2</c:v>
                </c:pt>
                <c:pt idx="29">
                  <c:v>6.68493E-2</c:v>
                </c:pt>
              </c:numCache>
            </c:numRef>
          </c:val>
          <c:smooth val="0"/>
          <c:extLst>
            <c:ext xmlns:c16="http://schemas.microsoft.com/office/drawing/2014/chart" uri="{C3380CC4-5D6E-409C-BE32-E72D297353CC}">
              <c16:uniqueId val="{00000002-CE13-4234-AD84-E60E0791EB1C}"/>
            </c:ext>
          </c:extLst>
        </c:ser>
        <c:ser>
          <c:idx val="3"/>
          <c:order val="3"/>
          <c:tx>
            <c:strRef>
              <c:f>'[PM10_RISK ASSESSMENT.xls]Sheet2'!$E$1</c:f>
              <c:strCache>
                <c:ptCount val="1"/>
                <c:pt idx="0">
                  <c:v>AW</c:v>
                </c:pt>
              </c:strCache>
            </c:strRef>
          </c:tx>
          <c:marker>
            <c:symbol val="none"/>
          </c:marker>
          <c:cat>
            <c:strRef>
              <c:f>'[PM10_RISK ASSESSMENT.xls]Sheet2'!$A$2:$A$31</c:f>
              <c:strCache>
                <c:ptCount val="30"/>
                <c:pt idx="0">
                  <c:v>01 رمضان </c:v>
                </c:pt>
                <c:pt idx="1">
                  <c:v>07 رمضان </c:v>
                </c:pt>
                <c:pt idx="2">
                  <c:v>13 رمضان</c:v>
                </c:pt>
                <c:pt idx="3">
                  <c:v>19 رمضان</c:v>
                </c:pt>
                <c:pt idx="4">
                  <c:v>25 رمضان</c:v>
                </c:pt>
                <c:pt idx="5">
                  <c:v>01 شوال </c:v>
                </c:pt>
                <c:pt idx="6">
                  <c:v>07 شوال </c:v>
                </c:pt>
                <c:pt idx="7">
                  <c:v>13 شوال </c:v>
                </c:pt>
                <c:pt idx="8">
                  <c:v>19 شوال </c:v>
                </c:pt>
                <c:pt idx="9">
                  <c:v>25 شوال </c:v>
                </c:pt>
                <c:pt idx="10">
                  <c:v>01 ذي القعدة </c:v>
                </c:pt>
                <c:pt idx="11">
                  <c:v>07 ذي القعدة </c:v>
                </c:pt>
                <c:pt idx="12">
                  <c:v>13 ذي القعدة </c:v>
                </c:pt>
                <c:pt idx="13">
                  <c:v>19 ذي القعدة </c:v>
                </c:pt>
                <c:pt idx="14">
                  <c:v>25 ذي القعدة </c:v>
                </c:pt>
                <c:pt idx="15">
                  <c:v>02 ذي الحجة </c:v>
                </c:pt>
                <c:pt idx="16">
                  <c:v>08 ذي الحجة </c:v>
                </c:pt>
                <c:pt idx="17">
                  <c:v>14 ذي الحجة</c:v>
                </c:pt>
                <c:pt idx="18">
                  <c:v>20 ذي الحجة </c:v>
                </c:pt>
                <c:pt idx="19">
                  <c:v>26 ذي الحجة </c:v>
                </c:pt>
                <c:pt idx="20">
                  <c:v>03 محرم </c:v>
                </c:pt>
                <c:pt idx="21">
                  <c:v>09 محرم </c:v>
                </c:pt>
                <c:pt idx="22">
                  <c:v>15 محرم </c:v>
                </c:pt>
                <c:pt idx="23">
                  <c:v>21 محرم </c:v>
                </c:pt>
                <c:pt idx="24">
                  <c:v>27 محرم </c:v>
                </c:pt>
                <c:pt idx="25">
                  <c:v>03 صفر</c:v>
                </c:pt>
                <c:pt idx="26">
                  <c:v>09 صفر </c:v>
                </c:pt>
                <c:pt idx="27">
                  <c:v>15 صفر </c:v>
                </c:pt>
                <c:pt idx="28">
                  <c:v>21 صفر </c:v>
                </c:pt>
                <c:pt idx="29">
                  <c:v>27 صفر</c:v>
                </c:pt>
              </c:strCache>
            </c:strRef>
          </c:cat>
          <c:val>
            <c:numRef>
              <c:f>'[PM10_RISK ASSESSMENT.xls]Sheet2'!$E$2:$E$31</c:f>
              <c:numCache>
                <c:formatCode>0.000</c:formatCode>
                <c:ptCount val="30"/>
                <c:pt idx="0">
                  <c:v>2.0121600000000003E-2</c:v>
                </c:pt>
                <c:pt idx="1">
                  <c:v>1.90998E-2</c:v>
                </c:pt>
                <c:pt idx="2">
                  <c:v>1.7488500000000001E-2</c:v>
                </c:pt>
                <c:pt idx="3">
                  <c:v>1.8392399999999996E-2</c:v>
                </c:pt>
                <c:pt idx="4">
                  <c:v>1.9964399999999997E-2</c:v>
                </c:pt>
                <c:pt idx="5">
                  <c:v>2.2204499999999999E-2</c:v>
                </c:pt>
                <c:pt idx="6">
                  <c:v>2.1143399999999993E-2</c:v>
                </c:pt>
                <c:pt idx="7">
                  <c:v>1.9060499999999998E-2</c:v>
                </c:pt>
                <c:pt idx="8">
                  <c:v>1.8274499999999999E-2</c:v>
                </c:pt>
                <c:pt idx="9">
                  <c:v>2.1104100000000004E-2</c:v>
                </c:pt>
                <c:pt idx="10">
                  <c:v>2.0082299999999997E-2</c:v>
                </c:pt>
                <c:pt idx="11">
                  <c:v>2.41695E-2</c:v>
                </c:pt>
                <c:pt idx="12">
                  <c:v>2.1536399999999994E-2</c:v>
                </c:pt>
                <c:pt idx="13">
                  <c:v>1.85103E-2</c:v>
                </c:pt>
                <c:pt idx="14">
                  <c:v>2.53485E-2</c:v>
                </c:pt>
                <c:pt idx="15">
                  <c:v>2.2833299999999997E-2</c:v>
                </c:pt>
                <c:pt idx="16">
                  <c:v>4.7081399999999995E-2</c:v>
                </c:pt>
                <c:pt idx="17">
                  <c:v>2.5230600000000002E-2</c:v>
                </c:pt>
                <c:pt idx="18">
                  <c:v>2.0789699999999998E-2</c:v>
                </c:pt>
                <c:pt idx="19">
                  <c:v>2.3953349999999998E-2</c:v>
                </c:pt>
                <c:pt idx="20">
                  <c:v>2.3187000000000041E-2</c:v>
                </c:pt>
                <c:pt idx="21">
                  <c:v>2.4051599999999999E-2</c:v>
                </c:pt>
                <c:pt idx="22">
                  <c:v>1.7606399999999998E-2</c:v>
                </c:pt>
                <c:pt idx="23">
                  <c:v>1.96893E-2</c:v>
                </c:pt>
                <c:pt idx="24">
                  <c:v>1.8785399999999997E-2</c:v>
                </c:pt>
                <c:pt idx="25">
                  <c:v>2.0121600000000003E-2</c:v>
                </c:pt>
                <c:pt idx="26">
                  <c:v>1.9217700000000001E-2</c:v>
                </c:pt>
                <c:pt idx="27">
                  <c:v>2.3619299999999999E-2</c:v>
                </c:pt>
                <c:pt idx="28">
                  <c:v>2.0593199999999999E-2</c:v>
                </c:pt>
                <c:pt idx="29">
                  <c:v>1.9492799999999998E-2</c:v>
                </c:pt>
              </c:numCache>
            </c:numRef>
          </c:val>
          <c:smooth val="0"/>
          <c:extLst>
            <c:ext xmlns:c16="http://schemas.microsoft.com/office/drawing/2014/chart" uri="{C3380CC4-5D6E-409C-BE32-E72D297353CC}">
              <c16:uniqueId val="{00000003-CE13-4234-AD84-E60E0791EB1C}"/>
            </c:ext>
          </c:extLst>
        </c:ser>
        <c:dLbls>
          <c:showLegendKey val="0"/>
          <c:showVal val="0"/>
          <c:showCatName val="0"/>
          <c:showSerName val="0"/>
          <c:showPercent val="0"/>
          <c:showBubbleSize val="0"/>
        </c:dLbls>
        <c:smooth val="0"/>
        <c:axId val="-1216659280"/>
        <c:axId val="-1216658736"/>
      </c:lineChart>
      <c:catAx>
        <c:axId val="-1216659280"/>
        <c:scaling>
          <c:orientation val="minMax"/>
        </c:scaling>
        <c:delete val="0"/>
        <c:axPos val="b"/>
        <c:numFmt formatCode="General" sourceLinked="0"/>
        <c:majorTickMark val="out"/>
        <c:minorTickMark val="none"/>
        <c:tickLblPos val="nextTo"/>
        <c:crossAx val="-1216658736"/>
        <c:crosses val="autoZero"/>
        <c:auto val="1"/>
        <c:lblAlgn val="ctr"/>
        <c:lblOffset val="100"/>
        <c:noMultiLvlLbl val="0"/>
      </c:catAx>
      <c:valAx>
        <c:axId val="-1216658736"/>
        <c:scaling>
          <c:orientation val="minMax"/>
        </c:scaling>
        <c:delete val="0"/>
        <c:axPos val="l"/>
        <c:title>
          <c:tx>
            <c:rich>
              <a:bodyPr rot="-5400000" vert="horz"/>
              <a:lstStyle/>
              <a:p>
                <a:pPr>
                  <a:defRPr b="0"/>
                </a:pPr>
                <a:r>
                  <a:rPr lang="en-GB" b="0"/>
                  <a:t>Inhalation</a:t>
                </a:r>
                <a:r>
                  <a:rPr lang="en-GB" b="0" baseline="0"/>
                  <a:t> Cancer Risk</a:t>
                </a:r>
                <a:endParaRPr lang="en-GB" b="0"/>
              </a:p>
            </c:rich>
          </c:tx>
          <c:overlay val="0"/>
        </c:title>
        <c:numFmt formatCode="0.000" sourceLinked="1"/>
        <c:majorTickMark val="out"/>
        <c:minorTickMark val="none"/>
        <c:tickLblPos val="nextTo"/>
        <c:crossAx val="-1216659280"/>
        <c:crosses val="autoZero"/>
        <c:crossBetween val="between"/>
      </c:valAx>
    </c:plotArea>
    <c:legend>
      <c:legendPos val="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06D19-64E8-4303-B98B-9D9A7C396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4502</Words>
  <Characters>25663</Characters>
  <Application>Microsoft Office Word</Application>
  <DocSecurity>0</DocSecurity>
  <Lines>213</Lines>
  <Paragraphs>60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30105</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AHB3</dc:creator>
  <cp:lastModifiedBy>HP</cp:lastModifiedBy>
  <cp:revision>2</cp:revision>
  <cp:lastPrinted>2017-04-27T15:14:00Z</cp:lastPrinted>
  <dcterms:created xsi:type="dcterms:W3CDTF">2020-01-25T06:01:00Z</dcterms:created>
  <dcterms:modified xsi:type="dcterms:W3CDTF">2020-01-25T06:01:00Z</dcterms:modified>
</cp:coreProperties>
</file>