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C48" w:rsidRDefault="004E0DD0" w:rsidP="00A03C48">
      <w:pPr>
        <w:bidi w:val="0"/>
        <w:jc w:val="center"/>
        <w:rPr>
          <w:b/>
          <w:bCs/>
        </w:rPr>
      </w:pPr>
      <w:r>
        <w:rPr>
          <w:b/>
          <w:bCs/>
        </w:rPr>
        <w:t xml:space="preserve"> </w:t>
      </w:r>
      <w:bookmarkStart w:id="0" w:name="_GoBack"/>
      <w:r w:rsidR="00A03C48">
        <w:rPr>
          <w:b/>
          <w:bCs/>
        </w:rPr>
        <w:t>Can patient's nutritional status</w:t>
      </w:r>
      <w:bookmarkEnd w:id="0"/>
      <w:r w:rsidR="00A03C48">
        <w:rPr>
          <w:b/>
          <w:bCs/>
        </w:rPr>
        <w:t xml:space="preserve"> and nationality predict the cause of admission and hospital length of stay of Hajj patients admitted at the medical department in a tertiary hospital, Makkah?</w:t>
      </w:r>
    </w:p>
    <w:p w:rsidR="00A03C48" w:rsidRDefault="00A03C48" w:rsidP="00A03C48">
      <w:pPr>
        <w:bidi w:val="0"/>
        <w:jc w:val="center"/>
        <w:rPr>
          <w:b/>
          <w:bCs/>
        </w:rPr>
      </w:pPr>
    </w:p>
    <w:p w:rsidR="00F25D0A" w:rsidRDefault="00DD4D39" w:rsidP="00C66C56">
      <w:pPr>
        <w:bidi w:val="0"/>
        <w:jc w:val="center"/>
        <w:rPr>
          <w:b/>
          <w:bCs/>
          <w:vertAlign w:val="superscript"/>
        </w:rPr>
      </w:pPr>
      <w:r>
        <w:rPr>
          <w:b/>
          <w:bCs/>
        </w:rPr>
        <w:t>Wael A. Z. Shahin</w:t>
      </w:r>
      <w:r w:rsidR="00C66C56">
        <w:rPr>
          <w:b/>
          <w:bCs/>
          <w:vertAlign w:val="superscript"/>
        </w:rPr>
        <w:t>1,2</w:t>
      </w:r>
      <w:r>
        <w:rPr>
          <w:b/>
          <w:bCs/>
        </w:rPr>
        <w:t>, Moh</w:t>
      </w:r>
      <w:r w:rsidR="00752E36">
        <w:rPr>
          <w:b/>
          <w:bCs/>
        </w:rPr>
        <w:t>amme</w:t>
      </w:r>
      <w:r>
        <w:rPr>
          <w:b/>
          <w:bCs/>
        </w:rPr>
        <w:t>d H</w:t>
      </w:r>
      <w:r w:rsidR="00A03C48">
        <w:rPr>
          <w:b/>
          <w:bCs/>
        </w:rPr>
        <w:t>.</w:t>
      </w:r>
      <w:r>
        <w:rPr>
          <w:b/>
          <w:bCs/>
        </w:rPr>
        <w:t xml:space="preserve"> Al</w:t>
      </w:r>
      <w:r w:rsidR="00752E36">
        <w:rPr>
          <w:b/>
          <w:bCs/>
        </w:rPr>
        <w:t>y</w:t>
      </w:r>
      <w:r w:rsidR="00C66C56">
        <w:rPr>
          <w:b/>
          <w:bCs/>
          <w:vertAlign w:val="superscript"/>
        </w:rPr>
        <w:t>1,3</w:t>
      </w:r>
      <w:r>
        <w:rPr>
          <w:b/>
          <w:bCs/>
        </w:rPr>
        <w:t>, Mamdouh</w:t>
      </w:r>
      <w:r w:rsidR="00DD27C3">
        <w:rPr>
          <w:b/>
          <w:bCs/>
        </w:rPr>
        <w:t xml:space="preserve"> A. </w:t>
      </w:r>
      <w:r>
        <w:rPr>
          <w:b/>
          <w:bCs/>
        </w:rPr>
        <w:t xml:space="preserve"> Kalkatawi</w:t>
      </w:r>
      <w:r w:rsidR="00C66C56">
        <w:rPr>
          <w:b/>
          <w:bCs/>
          <w:vertAlign w:val="superscript"/>
        </w:rPr>
        <w:t>1</w:t>
      </w:r>
    </w:p>
    <w:p w:rsidR="00C66C56" w:rsidRPr="00C66C56" w:rsidRDefault="00C66C56" w:rsidP="00204919">
      <w:pPr>
        <w:bidi w:val="0"/>
        <w:jc w:val="center"/>
      </w:pPr>
      <w:r>
        <w:rPr>
          <w:vertAlign w:val="superscript"/>
        </w:rPr>
        <w:t>1</w:t>
      </w:r>
      <w:r>
        <w:t xml:space="preserve"> Medical department, Al Noor Specialist Hospital, Makkah</w:t>
      </w:r>
      <w:r w:rsidR="00204919">
        <w:t>, KSA</w:t>
      </w:r>
      <w:r>
        <w:t xml:space="preserve">. </w:t>
      </w:r>
      <w:r>
        <w:rPr>
          <w:vertAlign w:val="superscript"/>
        </w:rPr>
        <w:t>2</w:t>
      </w:r>
      <w:r>
        <w:t xml:space="preserve"> Ass. Prof. Gastroenterology department, Benha Faculty of Medicine, Benha</w:t>
      </w:r>
      <w:r w:rsidR="00204919">
        <w:t xml:space="preserve"> University</w:t>
      </w:r>
      <w:r>
        <w:t>,</w:t>
      </w:r>
      <w:r w:rsidR="00204919">
        <w:t xml:space="preserve"> Benha,</w:t>
      </w:r>
      <w:r>
        <w:t xml:space="preserve"> Egypt.</w:t>
      </w:r>
      <w:r w:rsidR="00204919">
        <w:rPr>
          <w:vertAlign w:val="superscript"/>
        </w:rPr>
        <w:t>3</w:t>
      </w:r>
      <w:r>
        <w:t xml:space="preserve"> </w:t>
      </w:r>
      <w:r w:rsidR="00204919">
        <w:t xml:space="preserve">Lecturer of General Medicine, South Valley Faculty of Medicine, </w:t>
      </w:r>
      <w:r w:rsidR="008143EA" w:rsidRPr="008143EA">
        <w:t xml:space="preserve">South Valley </w:t>
      </w:r>
      <w:r w:rsidR="008143EA">
        <w:t xml:space="preserve">University, </w:t>
      </w:r>
      <w:r w:rsidR="00204919">
        <w:t>Qena, Egypt.</w:t>
      </w:r>
    </w:p>
    <w:p w:rsidR="00F25D0A" w:rsidRDefault="00F25D0A" w:rsidP="00F25D0A">
      <w:pPr>
        <w:bidi w:val="0"/>
        <w:jc w:val="center"/>
      </w:pPr>
      <w:r w:rsidRPr="00C76FF6">
        <w:t>Abstract</w:t>
      </w:r>
    </w:p>
    <w:p w:rsidR="00F25D0A" w:rsidRPr="001636A8" w:rsidRDefault="00CB0973" w:rsidP="00A666C8">
      <w:pPr>
        <w:bidi w:val="0"/>
        <w:rPr>
          <w:rFonts w:asciiTheme="minorBidi" w:hAnsiTheme="minorBidi"/>
        </w:rPr>
      </w:pPr>
      <w:r w:rsidRPr="008D1D5A">
        <w:rPr>
          <w:rFonts w:asciiTheme="minorBidi" w:hAnsiTheme="minorBidi"/>
        </w:rPr>
        <w:t xml:space="preserve">          Every year, Makkah hosts millions of </w:t>
      </w:r>
      <w:r w:rsidR="00375188" w:rsidRPr="008D1D5A">
        <w:rPr>
          <w:rFonts w:asciiTheme="minorBidi" w:hAnsiTheme="minorBidi"/>
        </w:rPr>
        <w:t>Muslims</w:t>
      </w:r>
      <w:r w:rsidRPr="008D1D5A">
        <w:rPr>
          <w:rFonts w:asciiTheme="minorBidi" w:hAnsiTheme="minorBidi"/>
        </w:rPr>
        <w:t xml:space="preserve"> from around the world to perform hajj</w:t>
      </w:r>
      <w:r>
        <w:rPr>
          <w:rFonts w:asciiTheme="minorBidi" w:hAnsiTheme="minorBidi"/>
        </w:rPr>
        <w:t xml:space="preserve"> (pilgrimage)</w:t>
      </w:r>
      <w:r w:rsidR="00375188">
        <w:rPr>
          <w:rFonts w:asciiTheme="minorBidi" w:hAnsiTheme="minorBidi"/>
        </w:rPr>
        <w:t>;</w:t>
      </w:r>
      <w:r w:rsidR="00AF1F60" w:rsidRPr="003F5D22">
        <w:rPr>
          <w:rFonts w:asciiTheme="minorBidi" w:hAnsiTheme="minorBidi"/>
        </w:rPr>
        <w:t xml:space="preserve"> </w:t>
      </w:r>
      <w:r w:rsidR="006017DF" w:rsidRPr="003F5D22">
        <w:rPr>
          <w:rFonts w:asciiTheme="minorBidi" w:hAnsiTheme="minorBidi"/>
        </w:rPr>
        <w:t>th</w:t>
      </w:r>
      <w:r w:rsidR="0024371B">
        <w:rPr>
          <w:rFonts w:asciiTheme="minorBidi" w:hAnsiTheme="minorBidi"/>
        </w:rPr>
        <w:t>is</w:t>
      </w:r>
      <w:r w:rsidR="006017DF" w:rsidRPr="003F5D22">
        <w:rPr>
          <w:rFonts w:asciiTheme="minorBidi" w:hAnsiTheme="minorBidi"/>
        </w:rPr>
        <w:t xml:space="preserve"> </w:t>
      </w:r>
      <w:r w:rsidR="00AF1F60" w:rsidRPr="003F5D22">
        <w:rPr>
          <w:rFonts w:asciiTheme="minorBidi" w:hAnsiTheme="minorBidi"/>
        </w:rPr>
        <w:t xml:space="preserve">increases the burden on the health care facilities. </w:t>
      </w:r>
      <w:r w:rsidR="00911AE0" w:rsidRPr="003F5D22">
        <w:rPr>
          <w:rFonts w:asciiTheme="minorBidi" w:hAnsiTheme="minorBidi"/>
          <w:u w:val="single"/>
        </w:rPr>
        <w:t>The aim</w:t>
      </w:r>
      <w:r w:rsidR="00911AE0" w:rsidRPr="003F5D22">
        <w:rPr>
          <w:rFonts w:asciiTheme="minorBidi" w:hAnsiTheme="minorBidi"/>
        </w:rPr>
        <w:t xml:space="preserve"> of the study </w:t>
      </w:r>
      <w:r w:rsidR="004C0DD6" w:rsidRPr="003F5D22">
        <w:rPr>
          <w:rFonts w:asciiTheme="minorBidi" w:hAnsiTheme="minorBidi"/>
        </w:rPr>
        <w:t>was to assess the</w:t>
      </w:r>
      <w:r w:rsidR="00C76FF6" w:rsidRPr="003F5D22">
        <w:rPr>
          <w:rFonts w:asciiTheme="minorBidi" w:hAnsiTheme="minorBidi"/>
        </w:rPr>
        <w:t xml:space="preserve"> </w:t>
      </w:r>
      <w:r w:rsidR="004C0DD6" w:rsidRPr="003F5D22">
        <w:rPr>
          <w:rFonts w:asciiTheme="minorBidi" w:hAnsiTheme="minorBidi"/>
        </w:rPr>
        <w:t>nutritional status</w:t>
      </w:r>
      <w:r w:rsidR="000437EB" w:rsidRPr="003F5D22">
        <w:rPr>
          <w:rFonts w:asciiTheme="minorBidi" w:hAnsiTheme="minorBidi"/>
        </w:rPr>
        <w:t xml:space="preserve"> </w:t>
      </w:r>
      <w:r w:rsidR="00D06A5C" w:rsidRPr="003F5D22">
        <w:rPr>
          <w:rFonts w:asciiTheme="minorBidi" w:hAnsiTheme="minorBidi"/>
        </w:rPr>
        <w:t>of Hajj patients admitted at the medical department</w:t>
      </w:r>
      <w:r w:rsidR="00AF1F60" w:rsidRPr="003F5D22">
        <w:rPr>
          <w:rFonts w:asciiTheme="minorBidi" w:hAnsiTheme="minorBidi"/>
        </w:rPr>
        <w:t>, Al Noor hospital, Makkah,</w:t>
      </w:r>
      <w:r w:rsidR="00D06A5C" w:rsidRPr="003F5D22">
        <w:rPr>
          <w:rFonts w:asciiTheme="minorBidi" w:hAnsiTheme="minorBidi"/>
        </w:rPr>
        <w:t xml:space="preserve"> </w:t>
      </w:r>
      <w:r w:rsidR="000437EB" w:rsidRPr="003F5D22">
        <w:rPr>
          <w:rFonts w:asciiTheme="minorBidi" w:hAnsiTheme="minorBidi"/>
        </w:rPr>
        <w:t xml:space="preserve">and </w:t>
      </w:r>
      <w:r w:rsidR="00D06A5C" w:rsidRPr="003F5D22">
        <w:rPr>
          <w:rFonts w:asciiTheme="minorBidi" w:hAnsiTheme="minorBidi"/>
        </w:rPr>
        <w:t>its relation to the cause</w:t>
      </w:r>
      <w:r w:rsidR="00105CA1" w:rsidRPr="003F5D22">
        <w:rPr>
          <w:rFonts w:asciiTheme="minorBidi" w:hAnsiTheme="minorBidi"/>
        </w:rPr>
        <w:t xml:space="preserve"> of admission</w:t>
      </w:r>
      <w:r w:rsidR="000437EB" w:rsidRPr="003F5D22">
        <w:rPr>
          <w:rFonts w:asciiTheme="minorBidi" w:hAnsiTheme="minorBidi"/>
        </w:rPr>
        <w:t xml:space="preserve"> </w:t>
      </w:r>
      <w:r w:rsidR="00D06A5C" w:rsidRPr="003F5D22">
        <w:rPr>
          <w:rFonts w:asciiTheme="minorBidi" w:hAnsiTheme="minorBidi"/>
        </w:rPr>
        <w:t xml:space="preserve">and </w:t>
      </w:r>
      <w:r w:rsidR="00272341" w:rsidRPr="003F5D22">
        <w:rPr>
          <w:rFonts w:asciiTheme="minorBidi" w:hAnsiTheme="minorBidi"/>
        </w:rPr>
        <w:t xml:space="preserve">hospital </w:t>
      </w:r>
      <w:r w:rsidR="005F721A" w:rsidRPr="003F5D22">
        <w:rPr>
          <w:rFonts w:asciiTheme="minorBidi" w:hAnsiTheme="minorBidi"/>
        </w:rPr>
        <w:t>l</w:t>
      </w:r>
      <w:r w:rsidR="00272341" w:rsidRPr="003F5D22">
        <w:rPr>
          <w:rFonts w:asciiTheme="minorBidi" w:hAnsiTheme="minorBidi"/>
        </w:rPr>
        <w:t xml:space="preserve">ength of </w:t>
      </w:r>
      <w:r w:rsidR="005F721A" w:rsidRPr="003F5D22">
        <w:rPr>
          <w:rFonts w:asciiTheme="minorBidi" w:hAnsiTheme="minorBidi"/>
        </w:rPr>
        <w:t>s</w:t>
      </w:r>
      <w:r w:rsidR="00272341" w:rsidRPr="003F5D22">
        <w:rPr>
          <w:rFonts w:asciiTheme="minorBidi" w:hAnsiTheme="minorBidi"/>
        </w:rPr>
        <w:t>tay</w:t>
      </w:r>
      <w:r w:rsidR="00682A78" w:rsidRPr="003F5D22">
        <w:rPr>
          <w:rFonts w:asciiTheme="minorBidi" w:hAnsiTheme="minorBidi"/>
        </w:rPr>
        <w:t xml:space="preserve"> </w:t>
      </w:r>
      <w:r w:rsidR="00896CCB" w:rsidRPr="003F5D22">
        <w:rPr>
          <w:rFonts w:asciiTheme="minorBidi" w:hAnsiTheme="minorBidi"/>
        </w:rPr>
        <w:t>(HLOS)</w:t>
      </w:r>
      <w:r w:rsidR="00105CA1" w:rsidRPr="003F5D22">
        <w:rPr>
          <w:rFonts w:asciiTheme="minorBidi" w:hAnsiTheme="minorBidi"/>
        </w:rPr>
        <w:t>.</w:t>
      </w:r>
      <w:r w:rsidR="004C0DD6" w:rsidRPr="003F5D22">
        <w:rPr>
          <w:rFonts w:asciiTheme="minorBidi" w:hAnsiTheme="minorBidi"/>
        </w:rPr>
        <w:t xml:space="preserve"> </w:t>
      </w:r>
      <w:r w:rsidR="00A03C48" w:rsidRPr="003F5D22">
        <w:rPr>
          <w:rFonts w:asciiTheme="minorBidi" w:hAnsiTheme="minorBidi"/>
          <w:u w:val="single"/>
        </w:rPr>
        <w:t>Patients and methods:</w:t>
      </w:r>
      <w:r w:rsidR="00A03C48" w:rsidRPr="003F5D22">
        <w:rPr>
          <w:rFonts w:asciiTheme="minorBidi" w:hAnsiTheme="minorBidi"/>
        </w:rPr>
        <w:t xml:space="preserve"> </w:t>
      </w:r>
      <w:r w:rsidR="004347A7">
        <w:rPr>
          <w:rFonts w:asciiTheme="minorBidi" w:hAnsiTheme="minorBidi"/>
        </w:rPr>
        <w:t xml:space="preserve">163 </w:t>
      </w:r>
      <w:r w:rsidR="00996369" w:rsidRPr="003F5D22">
        <w:rPr>
          <w:rFonts w:asciiTheme="minorBidi" w:hAnsiTheme="minorBidi"/>
        </w:rPr>
        <w:t xml:space="preserve">patients were admitted during the hajj season </w:t>
      </w:r>
      <w:r w:rsidR="00896CCB" w:rsidRPr="003F5D22">
        <w:rPr>
          <w:rFonts w:asciiTheme="minorBidi" w:hAnsiTheme="minorBidi"/>
        </w:rPr>
        <w:t>(</w:t>
      </w:r>
      <w:r w:rsidR="002270F5" w:rsidRPr="003F5D22">
        <w:rPr>
          <w:rFonts w:asciiTheme="minorBidi" w:hAnsiTheme="minorBidi"/>
        </w:rPr>
        <w:t>1st</w:t>
      </w:r>
      <w:r w:rsidR="00896CCB" w:rsidRPr="003F5D22">
        <w:rPr>
          <w:rFonts w:asciiTheme="minorBidi" w:hAnsiTheme="minorBidi"/>
        </w:rPr>
        <w:t xml:space="preserve"> </w:t>
      </w:r>
      <w:r w:rsidR="00AD4C4C" w:rsidRPr="003F5D22">
        <w:rPr>
          <w:rFonts w:asciiTheme="minorBidi" w:hAnsiTheme="minorBidi"/>
        </w:rPr>
        <w:t>-</w:t>
      </w:r>
      <w:r w:rsidR="00896CCB" w:rsidRPr="003F5D22">
        <w:rPr>
          <w:rFonts w:asciiTheme="minorBidi" w:hAnsiTheme="minorBidi"/>
        </w:rPr>
        <w:t xml:space="preserve"> 15</w:t>
      </w:r>
      <w:r w:rsidR="00896CCB" w:rsidRPr="003F5D22">
        <w:rPr>
          <w:rFonts w:asciiTheme="minorBidi" w:hAnsiTheme="minorBidi"/>
          <w:vertAlign w:val="superscript"/>
        </w:rPr>
        <w:t>th</w:t>
      </w:r>
      <w:r w:rsidR="00896CCB" w:rsidRPr="003F5D22">
        <w:rPr>
          <w:rFonts w:asciiTheme="minorBidi" w:hAnsiTheme="minorBidi"/>
        </w:rPr>
        <w:t xml:space="preserve"> </w:t>
      </w:r>
      <w:proofErr w:type="spellStart"/>
      <w:r w:rsidR="002270F5" w:rsidRPr="003F5D22">
        <w:rPr>
          <w:rFonts w:asciiTheme="minorBidi" w:hAnsiTheme="minorBidi"/>
        </w:rPr>
        <w:t>Zul</w:t>
      </w:r>
      <w:proofErr w:type="spellEnd"/>
      <w:r w:rsidR="002270F5" w:rsidRPr="003F5D22">
        <w:rPr>
          <w:rFonts w:asciiTheme="minorBidi" w:hAnsiTheme="minorBidi"/>
        </w:rPr>
        <w:t xml:space="preserve"> </w:t>
      </w:r>
      <w:proofErr w:type="spellStart"/>
      <w:r w:rsidR="002270F5" w:rsidRPr="003F5D22">
        <w:rPr>
          <w:rFonts w:asciiTheme="minorBidi" w:hAnsiTheme="minorBidi"/>
        </w:rPr>
        <w:t>Hejjah</w:t>
      </w:r>
      <w:proofErr w:type="spellEnd"/>
      <w:r w:rsidR="008A6974" w:rsidRPr="003F5D22">
        <w:rPr>
          <w:rFonts w:asciiTheme="minorBidi" w:hAnsiTheme="minorBidi"/>
        </w:rPr>
        <w:t>, 1430</w:t>
      </w:r>
      <w:r w:rsidR="00313DA2" w:rsidRPr="003F5D22">
        <w:rPr>
          <w:rFonts w:asciiTheme="minorBidi" w:hAnsiTheme="minorBidi"/>
        </w:rPr>
        <w:t>)</w:t>
      </w:r>
      <w:r w:rsidR="00996369" w:rsidRPr="003F5D22">
        <w:rPr>
          <w:rFonts w:asciiTheme="minorBidi" w:hAnsiTheme="minorBidi"/>
        </w:rPr>
        <w:t xml:space="preserve">. </w:t>
      </w:r>
      <w:r w:rsidR="00AD4C4C" w:rsidRPr="003F5D22">
        <w:rPr>
          <w:rFonts w:asciiTheme="minorBidi" w:hAnsiTheme="minorBidi"/>
        </w:rPr>
        <w:t>All patients were studied as reg</w:t>
      </w:r>
      <w:r w:rsidR="00053CD8" w:rsidRPr="003F5D22">
        <w:rPr>
          <w:rFonts w:asciiTheme="minorBidi" w:hAnsiTheme="minorBidi"/>
        </w:rPr>
        <w:t xml:space="preserve">ards the demographic characters, </w:t>
      </w:r>
      <w:r w:rsidR="00AD4C4C" w:rsidRPr="003F5D22">
        <w:rPr>
          <w:rFonts w:asciiTheme="minorBidi" w:hAnsiTheme="minorBidi"/>
        </w:rPr>
        <w:t>nutritional status</w:t>
      </w:r>
      <w:r w:rsidR="00053CD8" w:rsidRPr="003F5D22">
        <w:rPr>
          <w:rFonts w:asciiTheme="minorBidi" w:hAnsiTheme="minorBidi"/>
        </w:rPr>
        <w:t>,</w:t>
      </w:r>
      <w:r w:rsidR="00D830C5" w:rsidRPr="003F5D22">
        <w:rPr>
          <w:rFonts w:asciiTheme="minorBidi" w:hAnsiTheme="minorBidi"/>
        </w:rPr>
        <w:t xml:space="preserve"> </w:t>
      </w:r>
      <w:r w:rsidR="00053CD8" w:rsidRPr="003F5D22">
        <w:rPr>
          <w:rFonts w:asciiTheme="minorBidi" w:hAnsiTheme="minorBidi"/>
        </w:rPr>
        <w:t>hospital length of stay and cause of admission.</w:t>
      </w:r>
      <w:r w:rsidR="00AD4C4C" w:rsidRPr="003F5D22">
        <w:rPr>
          <w:rFonts w:asciiTheme="minorBidi" w:hAnsiTheme="minorBidi"/>
        </w:rPr>
        <w:t xml:space="preserve"> </w:t>
      </w:r>
      <w:r w:rsidR="00D830C5" w:rsidRPr="003F5D22">
        <w:rPr>
          <w:rFonts w:asciiTheme="minorBidi" w:hAnsiTheme="minorBidi"/>
          <w:u w:val="single"/>
        </w:rPr>
        <w:t>Results:</w:t>
      </w:r>
      <w:r w:rsidR="00D830C5" w:rsidRPr="003F5D22">
        <w:rPr>
          <w:rFonts w:asciiTheme="minorBidi" w:hAnsiTheme="minorBidi"/>
        </w:rPr>
        <w:t xml:space="preserve"> </w:t>
      </w:r>
      <w:r w:rsidR="00996369" w:rsidRPr="003F5D22">
        <w:rPr>
          <w:rFonts w:asciiTheme="minorBidi" w:hAnsiTheme="minorBidi"/>
        </w:rPr>
        <w:t xml:space="preserve">The </w:t>
      </w:r>
      <w:r w:rsidR="008B5360" w:rsidRPr="003F5D22">
        <w:rPr>
          <w:rFonts w:asciiTheme="minorBidi" w:hAnsiTheme="minorBidi"/>
        </w:rPr>
        <w:t xml:space="preserve">mean </w:t>
      </w:r>
      <w:r w:rsidR="00996369" w:rsidRPr="003F5D22">
        <w:rPr>
          <w:rFonts w:asciiTheme="minorBidi" w:hAnsiTheme="minorBidi"/>
        </w:rPr>
        <w:t>age</w:t>
      </w:r>
      <w:r w:rsidR="008B5360" w:rsidRPr="003F5D22">
        <w:rPr>
          <w:rFonts w:asciiTheme="minorBidi" w:hAnsiTheme="minorBidi"/>
        </w:rPr>
        <w:t xml:space="preserve"> </w:t>
      </w:r>
      <w:r w:rsidR="000A56D2" w:rsidRPr="003F5D22">
        <w:rPr>
          <w:rFonts w:asciiTheme="minorBidi" w:hAnsiTheme="minorBidi"/>
        </w:rPr>
        <w:t xml:space="preserve">of patients </w:t>
      </w:r>
      <w:r w:rsidR="008B5360" w:rsidRPr="003F5D22">
        <w:rPr>
          <w:rFonts w:asciiTheme="minorBidi" w:hAnsiTheme="minorBidi"/>
        </w:rPr>
        <w:t>was</w:t>
      </w:r>
      <w:r w:rsidR="00406E54" w:rsidRPr="003F5D22">
        <w:rPr>
          <w:rFonts w:asciiTheme="minorBidi" w:hAnsiTheme="minorBidi"/>
        </w:rPr>
        <w:t xml:space="preserve"> 59.4 </w:t>
      </w:r>
      <w:r w:rsidR="00313DA2" w:rsidRPr="003F5D22">
        <w:rPr>
          <w:rFonts w:asciiTheme="minorBidi" w:hAnsiTheme="minorBidi"/>
        </w:rPr>
        <w:t xml:space="preserve">± 11 </w:t>
      </w:r>
      <w:r w:rsidR="008B5360" w:rsidRPr="003F5D22">
        <w:rPr>
          <w:rFonts w:asciiTheme="minorBidi" w:hAnsiTheme="minorBidi"/>
        </w:rPr>
        <w:t>yrs</w:t>
      </w:r>
      <w:r w:rsidR="00406E54" w:rsidRPr="003F5D22">
        <w:rPr>
          <w:rFonts w:asciiTheme="minorBidi" w:hAnsiTheme="minorBidi"/>
        </w:rPr>
        <w:t>,</w:t>
      </w:r>
      <w:r w:rsidR="00053CD8" w:rsidRPr="003F5D22">
        <w:rPr>
          <w:rFonts w:asciiTheme="minorBidi" w:hAnsiTheme="minorBidi"/>
        </w:rPr>
        <w:t xml:space="preserve"> </w:t>
      </w:r>
      <w:r w:rsidR="00783B6A">
        <w:rPr>
          <w:rFonts w:asciiTheme="minorBidi" w:hAnsiTheme="minorBidi"/>
        </w:rPr>
        <w:t>an</w:t>
      </w:r>
      <w:r w:rsidR="000A56D2" w:rsidRPr="003F5D22">
        <w:rPr>
          <w:rFonts w:asciiTheme="minorBidi" w:hAnsiTheme="minorBidi"/>
        </w:rPr>
        <w:t>d</w:t>
      </w:r>
      <w:r w:rsidR="00053CD8" w:rsidRPr="003F5D22">
        <w:rPr>
          <w:rFonts w:asciiTheme="minorBidi" w:hAnsiTheme="minorBidi"/>
        </w:rPr>
        <w:t xml:space="preserve"> 57.7% of patients were males.</w:t>
      </w:r>
      <w:r w:rsidR="00406E54" w:rsidRPr="003F5D22">
        <w:rPr>
          <w:rFonts w:asciiTheme="minorBidi" w:hAnsiTheme="minorBidi"/>
        </w:rPr>
        <w:t xml:space="preserve"> </w:t>
      </w:r>
      <w:r w:rsidR="00053CD8" w:rsidRPr="003F5D22">
        <w:rPr>
          <w:rFonts w:asciiTheme="minorBidi" w:hAnsiTheme="minorBidi"/>
        </w:rPr>
        <w:t>Mean</w:t>
      </w:r>
      <w:r w:rsidR="00406E54" w:rsidRPr="003F5D22">
        <w:rPr>
          <w:rFonts w:asciiTheme="minorBidi" w:hAnsiTheme="minorBidi"/>
        </w:rPr>
        <w:t xml:space="preserve"> BMI was 23.8</w:t>
      </w:r>
      <w:r w:rsidR="00313DA2" w:rsidRPr="003F5D22">
        <w:rPr>
          <w:rFonts w:asciiTheme="minorBidi" w:hAnsiTheme="minorBidi"/>
        </w:rPr>
        <w:t xml:space="preserve"> ±</w:t>
      </w:r>
      <w:r w:rsidR="00EF4918" w:rsidRPr="003F5D22">
        <w:rPr>
          <w:rFonts w:asciiTheme="minorBidi" w:hAnsiTheme="minorBidi"/>
        </w:rPr>
        <w:t xml:space="preserve"> </w:t>
      </w:r>
      <w:r w:rsidR="00F217A7" w:rsidRPr="003F5D22">
        <w:rPr>
          <w:rFonts w:asciiTheme="minorBidi" w:hAnsiTheme="minorBidi"/>
        </w:rPr>
        <w:t>5.6</w:t>
      </w:r>
      <w:r w:rsidR="00406E54" w:rsidRPr="003F5D22">
        <w:rPr>
          <w:rFonts w:asciiTheme="minorBidi" w:hAnsiTheme="minorBidi"/>
        </w:rPr>
        <w:t xml:space="preserve"> </w:t>
      </w:r>
      <w:r w:rsidR="0064592D" w:rsidRPr="003F5D22">
        <w:rPr>
          <w:rFonts w:asciiTheme="minorBidi" w:hAnsiTheme="minorBidi"/>
        </w:rPr>
        <w:t>kg/m</w:t>
      </w:r>
      <w:r w:rsidR="0064592D" w:rsidRPr="003F5D22">
        <w:rPr>
          <w:rFonts w:asciiTheme="minorBidi" w:hAnsiTheme="minorBidi"/>
          <w:vertAlign w:val="superscript"/>
        </w:rPr>
        <w:t>2</w:t>
      </w:r>
      <w:r w:rsidR="000A56D2" w:rsidRPr="003F5D22">
        <w:rPr>
          <w:rFonts w:asciiTheme="minorBidi" w:hAnsiTheme="minorBidi"/>
        </w:rPr>
        <w:t>,</w:t>
      </w:r>
      <w:r w:rsidR="006017DF" w:rsidRPr="003F5D22">
        <w:rPr>
          <w:rFonts w:asciiTheme="minorBidi" w:hAnsiTheme="minorBidi"/>
          <w:vertAlign w:val="superscript"/>
        </w:rPr>
        <w:t xml:space="preserve"> </w:t>
      </w:r>
      <w:r w:rsidR="006017DF" w:rsidRPr="003F5D22">
        <w:rPr>
          <w:rFonts w:asciiTheme="minorBidi" w:hAnsiTheme="minorBidi"/>
        </w:rPr>
        <w:t>(</w:t>
      </w:r>
      <w:r w:rsidR="00053CD8" w:rsidRPr="003F5D22">
        <w:rPr>
          <w:rFonts w:asciiTheme="minorBidi" w:hAnsiTheme="minorBidi"/>
        </w:rPr>
        <w:t>45.4%</w:t>
      </w:r>
      <w:r>
        <w:rPr>
          <w:rFonts w:asciiTheme="minorBidi" w:hAnsiTheme="minorBidi"/>
        </w:rPr>
        <w:t xml:space="preserve"> had</w:t>
      </w:r>
      <w:r w:rsidR="00053CD8" w:rsidRPr="003F5D22">
        <w:rPr>
          <w:rFonts w:asciiTheme="minorBidi" w:hAnsiTheme="minorBidi"/>
        </w:rPr>
        <w:t xml:space="preserve"> normal nutrition status, 23.9%</w:t>
      </w:r>
      <w:r>
        <w:rPr>
          <w:rFonts w:asciiTheme="minorBidi" w:hAnsiTheme="minorBidi"/>
        </w:rPr>
        <w:t xml:space="preserve"> had</w:t>
      </w:r>
      <w:r w:rsidR="002E11AB" w:rsidRPr="003F5D22">
        <w:rPr>
          <w:rFonts w:asciiTheme="minorBidi" w:hAnsiTheme="minorBidi"/>
        </w:rPr>
        <w:t xml:space="preserve"> </w:t>
      </w:r>
      <w:r w:rsidR="00053CD8" w:rsidRPr="003F5D22">
        <w:rPr>
          <w:rFonts w:asciiTheme="minorBidi" w:hAnsiTheme="minorBidi"/>
        </w:rPr>
        <w:t>under</w:t>
      </w:r>
      <w:r w:rsidR="00783B6A">
        <w:rPr>
          <w:rFonts w:asciiTheme="minorBidi" w:hAnsiTheme="minorBidi"/>
        </w:rPr>
        <w:t>-</w:t>
      </w:r>
      <w:r w:rsidR="00053CD8" w:rsidRPr="003F5D22">
        <w:rPr>
          <w:rFonts w:asciiTheme="minorBidi" w:hAnsiTheme="minorBidi"/>
        </w:rPr>
        <w:t>nutrition</w:t>
      </w:r>
      <w:r>
        <w:rPr>
          <w:rFonts w:asciiTheme="minorBidi" w:hAnsiTheme="minorBidi"/>
        </w:rPr>
        <w:t xml:space="preserve"> status</w:t>
      </w:r>
      <w:r w:rsidR="000E0459" w:rsidRPr="003F5D22">
        <w:rPr>
          <w:rFonts w:asciiTheme="minorBidi" w:hAnsiTheme="minorBidi"/>
        </w:rPr>
        <w:t>, 1</w:t>
      </w:r>
      <w:r w:rsidR="002E11AB" w:rsidRPr="003F5D22">
        <w:rPr>
          <w:rFonts w:asciiTheme="minorBidi" w:hAnsiTheme="minorBidi"/>
        </w:rPr>
        <w:t>8</w:t>
      </w:r>
      <w:r w:rsidR="00053CD8" w:rsidRPr="003F5D22">
        <w:rPr>
          <w:rFonts w:asciiTheme="minorBidi" w:hAnsiTheme="minorBidi"/>
        </w:rPr>
        <w:t>%</w:t>
      </w:r>
      <w:r>
        <w:rPr>
          <w:rFonts w:asciiTheme="minorBidi" w:hAnsiTheme="minorBidi"/>
        </w:rPr>
        <w:t xml:space="preserve"> were</w:t>
      </w:r>
      <w:r w:rsidR="008A6974" w:rsidRPr="003F5D22">
        <w:rPr>
          <w:rFonts w:asciiTheme="minorBidi" w:hAnsiTheme="minorBidi"/>
        </w:rPr>
        <w:t xml:space="preserve"> </w:t>
      </w:r>
      <w:r w:rsidR="00277F27" w:rsidRPr="003F5D22">
        <w:rPr>
          <w:rFonts w:asciiTheme="minorBidi" w:hAnsiTheme="minorBidi"/>
        </w:rPr>
        <w:t>o</w:t>
      </w:r>
      <w:r w:rsidR="00053CD8" w:rsidRPr="003F5D22">
        <w:rPr>
          <w:rFonts w:asciiTheme="minorBidi" w:hAnsiTheme="minorBidi"/>
        </w:rPr>
        <w:t>verweight and 1</w:t>
      </w:r>
      <w:r w:rsidR="002E11AB" w:rsidRPr="003F5D22">
        <w:rPr>
          <w:rFonts w:asciiTheme="minorBidi" w:hAnsiTheme="minorBidi"/>
        </w:rPr>
        <w:t>2</w:t>
      </w:r>
      <w:r w:rsidR="000E0459" w:rsidRPr="003F5D22">
        <w:rPr>
          <w:rFonts w:asciiTheme="minorBidi" w:hAnsiTheme="minorBidi"/>
        </w:rPr>
        <w:t>.7</w:t>
      </w:r>
      <w:r w:rsidR="00053CD8" w:rsidRPr="003F5D22">
        <w:rPr>
          <w:rFonts w:asciiTheme="minorBidi" w:hAnsiTheme="minorBidi"/>
        </w:rPr>
        <w:t>%</w:t>
      </w:r>
      <w:r>
        <w:rPr>
          <w:rFonts w:asciiTheme="minorBidi" w:hAnsiTheme="minorBidi"/>
        </w:rPr>
        <w:t xml:space="preserve"> were</w:t>
      </w:r>
      <w:r w:rsidR="00053CD8" w:rsidRPr="003F5D22">
        <w:rPr>
          <w:rFonts w:asciiTheme="minorBidi" w:hAnsiTheme="minorBidi"/>
        </w:rPr>
        <w:t xml:space="preserve"> obese</w:t>
      </w:r>
      <w:r w:rsidR="006017DF" w:rsidRPr="003F5D22">
        <w:rPr>
          <w:rFonts w:asciiTheme="minorBidi" w:hAnsiTheme="minorBidi"/>
        </w:rPr>
        <w:t>)</w:t>
      </w:r>
      <w:r w:rsidR="00053CD8" w:rsidRPr="003F5D22">
        <w:rPr>
          <w:rFonts w:asciiTheme="minorBidi" w:hAnsiTheme="minorBidi"/>
        </w:rPr>
        <w:t xml:space="preserve">. </w:t>
      </w:r>
      <w:r w:rsidR="00D740E8" w:rsidRPr="003F5D22">
        <w:rPr>
          <w:rFonts w:asciiTheme="minorBidi" w:hAnsiTheme="minorBidi"/>
        </w:rPr>
        <w:t>The commonest cause of admission was respiratory diseases (44.2%)</w:t>
      </w:r>
      <w:r>
        <w:rPr>
          <w:rFonts w:asciiTheme="minorBidi" w:hAnsiTheme="minorBidi"/>
        </w:rPr>
        <w:t xml:space="preserve"> followed by</w:t>
      </w:r>
      <w:r w:rsidR="00D740E8" w:rsidRPr="003F5D22">
        <w:rPr>
          <w:rFonts w:asciiTheme="minorBidi" w:hAnsiTheme="minorBidi"/>
        </w:rPr>
        <w:t xml:space="preserve"> Gastrointestinal diseases (22.1%), Neurological diseases (11%), Diabetes Mellitus complications (10.4%) and other diagnosis (12.3%). </w:t>
      </w:r>
      <w:r w:rsidR="00277F27" w:rsidRPr="003F5D22">
        <w:rPr>
          <w:rFonts w:asciiTheme="minorBidi" w:hAnsiTheme="minorBidi"/>
        </w:rPr>
        <w:t xml:space="preserve">The </w:t>
      </w:r>
      <w:r w:rsidR="00406E54" w:rsidRPr="003F5D22">
        <w:rPr>
          <w:rFonts w:asciiTheme="minorBidi" w:hAnsiTheme="minorBidi"/>
        </w:rPr>
        <w:t>mean HLOS was 3.9</w:t>
      </w:r>
      <w:r w:rsidR="00313DA2" w:rsidRPr="003F5D22">
        <w:rPr>
          <w:rFonts w:asciiTheme="minorBidi" w:hAnsiTheme="minorBidi"/>
        </w:rPr>
        <w:t>±2.47</w:t>
      </w:r>
      <w:r w:rsidR="00406E54" w:rsidRPr="003F5D22">
        <w:rPr>
          <w:rFonts w:asciiTheme="minorBidi" w:hAnsiTheme="minorBidi"/>
        </w:rPr>
        <w:t xml:space="preserve"> days</w:t>
      </w:r>
      <w:r w:rsidR="006017DF" w:rsidRPr="003F5D22">
        <w:rPr>
          <w:rFonts w:asciiTheme="minorBidi" w:hAnsiTheme="minorBidi"/>
        </w:rPr>
        <w:t xml:space="preserve"> and p</w:t>
      </w:r>
      <w:r w:rsidR="00036FD5" w:rsidRPr="003F5D22">
        <w:rPr>
          <w:rFonts w:asciiTheme="minorBidi" w:hAnsiTheme="minorBidi"/>
        </w:rPr>
        <w:t>rolonged HLOS</w:t>
      </w:r>
      <w:r>
        <w:rPr>
          <w:rFonts w:asciiTheme="minorBidi" w:hAnsiTheme="minorBidi"/>
        </w:rPr>
        <w:t xml:space="preserve"> (more than 5 days)</w:t>
      </w:r>
      <w:r w:rsidR="00277F27" w:rsidRPr="003F5D22">
        <w:rPr>
          <w:rFonts w:asciiTheme="minorBidi" w:hAnsiTheme="minorBidi"/>
        </w:rPr>
        <w:t xml:space="preserve"> was reported </w:t>
      </w:r>
      <w:r w:rsidR="00036FD5" w:rsidRPr="003F5D22">
        <w:rPr>
          <w:rFonts w:asciiTheme="minorBidi" w:hAnsiTheme="minorBidi"/>
        </w:rPr>
        <w:t>in 17.8% of patients.</w:t>
      </w:r>
      <w:r w:rsidR="00277F27" w:rsidRPr="003F5D22">
        <w:rPr>
          <w:rFonts w:asciiTheme="minorBidi" w:hAnsiTheme="minorBidi"/>
        </w:rPr>
        <w:t xml:space="preserve"> </w:t>
      </w:r>
      <w:r w:rsidR="00202216" w:rsidRPr="003F5D22">
        <w:rPr>
          <w:rFonts w:asciiTheme="minorBidi" w:hAnsiTheme="minorBidi"/>
          <w:color w:val="000000"/>
        </w:rPr>
        <w:t>Length of stay is significantly more in females compared to males (26% vs11.7</w:t>
      </w:r>
      <w:r w:rsidR="00202216" w:rsidRPr="001636A8">
        <w:rPr>
          <w:rFonts w:asciiTheme="minorBidi" w:hAnsiTheme="minorBidi"/>
          <w:color w:val="000000"/>
        </w:rPr>
        <w:t>%)</w:t>
      </w:r>
      <w:r w:rsidR="00202216">
        <w:rPr>
          <w:rFonts w:asciiTheme="minorBidi" w:hAnsiTheme="minorBidi"/>
          <w:color w:val="000000"/>
        </w:rPr>
        <w:t>.</w:t>
      </w:r>
      <w:r w:rsidR="00202216" w:rsidRPr="007622CE">
        <w:rPr>
          <w:rFonts w:asciiTheme="minorBidi" w:hAnsiTheme="minorBidi"/>
        </w:rPr>
        <w:t xml:space="preserve"> </w:t>
      </w:r>
      <w:r w:rsidR="00202216" w:rsidRPr="003F5D22">
        <w:rPr>
          <w:rFonts w:asciiTheme="minorBidi" w:hAnsiTheme="minorBidi"/>
        </w:rPr>
        <w:t>The shortest duration of HLOS was in normal BMI patients (</w:t>
      </w:r>
      <w:r w:rsidR="00202216" w:rsidRPr="003F5D22">
        <w:rPr>
          <w:rFonts w:asciiTheme="minorBidi" w:hAnsiTheme="minorBidi"/>
          <w:color w:val="000000"/>
        </w:rPr>
        <w:t>3.64±2 days)</w:t>
      </w:r>
      <w:r w:rsidR="00202216">
        <w:rPr>
          <w:rFonts w:asciiTheme="minorBidi" w:hAnsiTheme="minorBidi"/>
          <w:color w:val="000000"/>
        </w:rPr>
        <w:t>,</w:t>
      </w:r>
      <w:r w:rsidR="00202216" w:rsidRPr="003F5D22">
        <w:rPr>
          <w:rFonts w:asciiTheme="minorBidi" w:hAnsiTheme="minorBidi"/>
          <w:color w:val="000000"/>
        </w:rPr>
        <w:t xml:space="preserve"> while the longest was with the obese patients (4.52±4.1 days). </w:t>
      </w:r>
      <w:r w:rsidR="00202216">
        <w:rPr>
          <w:rFonts w:asciiTheme="minorBidi" w:hAnsiTheme="minorBidi"/>
          <w:color w:val="000000"/>
        </w:rPr>
        <w:t xml:space="preserve"> </w:t>
      </w:r>
      <w:r w:rsidR="00202216" w:rsidRPr="001636A8">
        <w:rPr>
          <w:rFonts w:asciiTheme="minorBidi" w:hAnsiTheme="minorBidi"/>
        </w:rPr>
        <w:t xml:space="preserve"> </w:t>
      </w:r>
      <w:r w:rsidR="004E48E4" w:rsidRPr="003F5D22">
        <w:rPr>
          <w:rFonts w:asciiTheme="minorBidi" w:hAnsiTheme="minorBidi"/>
        </w:rPr>
        <w:t>Patients were coming from 34 countries</w:t>
      </w:r>
      <w:r w:rsidR="002A74BA" w:rsidRPr="003F5D22">
        <w:rPr>
          <w:rFonts w:asciiTheme="minorBidi" w:hAnsiTheme="minorBidi"/>
        </w:rPr>
        <w:t xml:space="preserve"> (6 groups):</w:t>
      </w:r>
      <w:r w:rsidR="004E48E4" w:rsidRPr="003F5D22">
        <w:rPr>
          <w:rFonts w:asciiTheme="minorBidi" w:hAnsiTheme="minorBidi"/>
        </w:rPr>
        <w:t xml:space="preserve"> 31.9% </w:t>
      </w:r>
      <w:r w:rsidR="002A74BA" w:rsidRPr="003F5D22">
        <w:rPr>
          <w:rFonts w:asciiTheme="minorBidi" w:hAnsiTheme="minorBidi"/>
        </w:rPr>
        <w:t>(</w:t>
      </w:r>
      <w:r w:rsidR="004E48E4" w:rsidRPr="003F5D22">
        <w:rPr>
          <w:rFonts w:asciiTheme="minorBidi" w:hAnsiTheme="minorBidi"/>
        </w:rPr>
        <w:t>South Asia</w:t>
      </w:r>
      <w:r w:rsidR="002A74BA" w:rsidRPr="003F5D22">
        <w:rPr>
          <w:rFonts w:asciiTheme="minorBidi" w:hAnsiTheme="minorBidi"/>
        </w:rPr>
        <w:t>)</w:t>
      </w:r>
      <w:r w:rsidR="004E48E4" w:rsidRPr="003F5D22">
        <w:rPr>
          <w:rFonts w:asciiTheme="minorBidi" w:hAnsiTheme="minorBidi"/>
        </w:rPr>
        <w:t xml:space="preserve">, 25.8% </w:t>
      </w:r>
      <w:r w:rsidR="002A74BA" w:rsidRPr="003F5D22">
        <w:rPr>
          <w:rFonts w:asciiTheme="minorBidi" w:hAnsiTheme="minorBidi"/>
        </w:rPr>
        <w:t>(</w:t>
      </w:r>
      <w:r w:rsidR="004E48E4" w:rsidRPr="003F5D22">
        <w:rPr>
          <w:rFonts w:asciiTheme="minorBidi" w:hAnsiTheme="minorBidi"/>
        </w:rPr>
        <w:t>Arabic countries</w:t>
      </w:r>
      <w:r w:rsidR="002A74BA" w:rsidRPr="003F5D22">
        <w:rPr>
          <w:rFonts w:asciiTheme="minorBidi" w:hAnsiTheme="minorBidi"/>
        </w:rPr>
        <w:t>)</w:t>
      </w:r>
      <w:r w:rsidR="004E48E4" w:rsidRPr="003F5D22">
        <w:rPr>
          <w:rFonts w:asciiTheme="minorBidi" w:hAnsiTheme="minorBidi"/>
        </w:rPr>
        <w:t xml:space="preserve">, 23.3% </w:t>
      </w:r>
      <w:r w:rsidR="002A74BA" w:rsidRPr="003F5D22">
        <w:rPr>
          <w:rFonts w:asciiTheme="minorBidi" w:hAnsiTheme="minorBidi"/>
        </w:rPr>
        <w:t>(S</w:t>
      </w:r>
      <w:r w:rsidR="004E48E4" w:rsidRPr="003F5D22">
        <w:rPr>
          <w:rFonts w:asciiTheme="minorBidi" w:hAnsiTheme="minorBidi"/>
        </w:rPr>
        <w:t>outh East Asia</w:t>
      </w:r>
      <w:r w:rsidR="002A74BA" w:rsidRPr="003F5D22">
        <w:rPr>
          <w:rFonts w:asciiTheme="minorBidi" w:hAnsiTheme="minorBidi"/>
        </w:rPr>
        <w:t>)</w:t>
      </w:r>
      <w:r w:rsidR="004E48E4" w:rsidRPr="003F5D22">
        <w:rPr>
          <w:rFonts w:asciiTheme="minorBidi" w:hAnsiTheme="minorBidi"/>
        </w:rPr>
        <w:t xml:space="preserve">, 11.7% </w:t>
      </w:r>
      <w:r w:rsidR="002A74BA" w:rsidRPr="003F5D22">
        <w:rPr>
          <w:rFonts w:asciiTheme="minorBidi" w:hAnsiTheme="minorBidi"/>
        </w:rPr>
        <w:t>(</w:t>
      </w:r>
      <w:r w:rsidR="004E48E4" w:rsidRPr="003F5D22">
        <w:rPr>
          <w:rFonts w:asciiTheme="minorBidi" w:hAnsiTheme="minorBidi"/>
        </w:rPr>
        <w:t>central Asia</w:t>
      </w:r>
      <w:r w:rsidR="002A74BA" w:rsidRPr="003F5D22">
        <w:rPr>
          <w:rFonts w:asciiTheme="minorBidi" w:hAnsiTheme="minorBidi"/>
        </w:rPr>
        <w:t>)</w:t>
      </w:r>
      <w:r w:rsidR="00E317DF" w:rsidRPr="003F5D22">
        <w:rPr>
          <w:rFonts w:asciiTheme="minorBidi" w:hAnsiTheme="minorBidi"/>
        </w:rPr>
        <w:t xml:space="preserve">, 4.3% </w:t>
      </w:r>
      <w:r w:rsidR="002A74BA" w:rsidRPr="003F5D22">
        <w:rPr>
          <w:rFonts w:asciiTheme="minorBidi" w:hAnsiTheme="minorBidi"/>
        </w:rPr>
        <w:t>(</w:t>
      </w:r>
      <w:r w:rsidR="00E317DF" w:rsidRPr="003F5D22">
        <w:rPr>
          <w:rFonts w:asciiTheme="minorBidi" w:hAnsiTheme="minorBidi"/>
        </w:rPr>
        <w:t>sub-Saharan Africa</w:t>
      </w:r>
      <w:r w:rsidR="002A74BA" w:rsidRPr="003F5D22">
        <w:rPr>
          <w:rFonts w:asciiTheme="minorBidi" w:hAnsiTheme="minorBidi"/>
        </w:rPr>
        <w:t>)</w:t>
      </w:r>
      <w:r w:rsidR="00E317DF" w:rsidRPr="003F5D22">
        <w:rPr>
          <w:rFonts w:asciiTheme="minorBidi" w:hAnsiTheme="minorBidi"/>
        </w:rPr>
        <w:t xml:space="preserve"> and 3% from other areas</w:t>
      </w:r>
      <w:r w:rsidR="004E48E4" w:rsidRPr="003F5D22">
        <w:rPr>
          <w:rFonts w:asciiTheme="minorBidi" w:hAnsiTheme="minorBidi"/>
        </w:rPr>
        <w:t xml:space="preserve">. </w:t>
      </w:r>
      <w:r w:rsidR="004336F1" w:rsidRPr="003F5D22">
        <w:rPr>
          <w:rFonts w:asciiTheme="minorBidi" w:hAnsiTheme="minorBidi"/>
        </w:rPr>
        <w:t xml:space="preserve">There was a statistically significant increase of undernutrition in </w:t>
      </w:r>
      <w:r w:rsidR="005515B6" w:rsidRPr="003F5D22">
        <w:rPr>
          <w:rFonts w:asciiTheme="minorBidi" w:hAnsiTheme="minorBidi"/>
        </w:rPr>
        <w:t xml:space="preserve">patients </w:t>
      </w:r>
      <w:r w:rsidR="00277F27" w:rsidRPr="003F5D22">
        <w:rPr>
          <w:rFonts w:asciiTheme="minorBidi" w:hAnsiTheme="minorBidi"/>
        </w:rPr>
        <w:t xml:space="preserve">aged </w:t>
      </w:r>
      <w:r w:rsidR="005515B6" w:rsidRPr="003F5D22">
        <w:rPr>
          <w:rFonts w:asciiTheme="minorBidi" w:hAnsiTheme="minorBidi"/>
        </w:rPr>
        <w:t xml:space="preserve">60 </w:t>
      </w:r>
      <w:r w:rsidR="00277F27" w:rsidRPr="003F5D22">
        <w:rPr>
          <w:rFonts w:asciiTheme="minorBidi" w:hAnsiTheme="minorBidi"/>
        </w:rPr>
        <w:t xml:space="preserve">≥ </w:t>
      </w:r>
      <w:r w:rsidR="005515B6" w:rsidRPr="003F5D22">
        <w:rPr>
          <w:rFonts w:asciiTheme="minorBidi" w:hAnsiTheme="minorBidi"/>
        </w:rPr>
        <w:t>years (84.6% versus 15.4%)</w:t>
      </w:r>
      <w:r w:rsidR="00A95A20" w:rsidRPr="003F5D22">
        <w:rPr>
          <w:rFonts w:asciiTheme="minorBidi" w:hAnsiTheme="minorBidi"/>
        </w:rPr>
        <w:t>.</w:t>
      </w:r>
      <w:r w:rsidR="00067A99" w:rsidRPr="003F5D22">
        <w:rPr>
          <w:rFonts w:asciiTheme="minorBidi" w:hAnsiTheme="minorBidi"/>
        </w:rPr>
        <w:t xml:space="preserve"> MAC, TSF AND MAMC are good indicators of nutrition status</w:t>
      </w:r>
      <w:r w:rsidR="00A95A20" w:rsidRPr="003F5D22">
        <w:rPr>
          <w:rFonts w:asciiTheme="minorBidi" w:hAnsiTheme="minorBidi"/>
        </w:rPr>
        <w:t xml:space="preserve"> (p 0.00)</w:t>
      </w:r>
      <w:r w:rsidR="00067A99" w:rsidRPr="003F5D22">
        <w:rPr>
          <w:rFonts w:asciiTheme="minorBidi" w:hAnsiTheme="minorBidi"/>
        </w:rPr>
        <w:t xml:space="preserve">. </w:t>
      </w:r>
      <w:r w:rsidR="00A95A20" w:rsidRPr="003F5D22">
        <w:rPr>
          <w:rFonts w:asciiTheme="minorBidi" w:hAnsiTheme="minorBidi"/>
          <w:color w:val="000000"/>
        </w:rPr>
        <w:t xml:space="preserve">Undernutrition was significantly more in African </w:t>
      </w:r>
      <w:r w:rsidR="00372EEE" w:rsidRPr="003F5D22">
        <w:rPr>
          <w:rFonts w:asciiTheme="minorBidi" w:hAnsiTheme="minorBidi"/>
          <w:color w:val="000000"/>
        </w:rPr>
        <w:t xml:space="preserve">patients </w:t>
      </w:r>
      <w:r w:rsidR="00A95A20" w:rsidRPr="003F5D22">
        <w:rPr>
          <w:rFonts w:asciiTheme="minorBidi" w:hAnsiTheme="minorBidi"/>
          <w:color w:val="000000"/>
        </w:rPr>
        <w:t>(57%) followed by South East Asian (</w:t>
      </w:r>
      <w:r w:rsidR="00EE602F" w:rsidRPr="003F5D22">
        <w:rPr>
          <w:rFonts w:asciiTheme="minorBidi" w:hAnsiTheme="minorBidi"/>
          <w:color w:val="000000"/>
        </w:rPr>
        <w:t>39.5</w:t>
      </w:r>
      <w:r w:rsidR="00367B56" w:rsidRPr="003F5D22">
        <w:rPr>
          <w:rFonts w:asciiTheme="minorBidi" w:hAnsiTheme="minorBidi"/>
          <w:color w:val="000000"/>
        </w:rPr>
        <w:t>%</w:t>
      </w:r>
      <w:r w:rsidR="00A95A20" w:rsidRPr="003F5D22">
        <w:rPr>
          <w:rFonts w:asciiTheme="minorBidi" w:hAnsiTheme="minorBidi"/>
          <w:color w:val="000000"/>
        </w:rPr>
        <w:t xml:space="preserve">) while it was less than 15% in other </w:t>
      </w:r>
      <w:r w:rsidR="000175A1">
        <w:rPr>
          <w:rFonts w:asciiTheme="minorBidi" w:hAnsiTheme="minorBidi"/>
          <w:color w:val="000000"/>
        </w:rPr>
        <w:t>groups</w:t>
      </w:r>
      <w:r w:rsidR="00A95A20" w:rsidRPr="003F5D22">
        <w:rPr>
          <w:rFonts w:asciiTheme="minorBidi" w:hAnsiTheme="minorBidi"/>
          <w:color w:val="000000"/>
        </w:rPr>
        <w:t xml:space="preserve">. Also, </w:t>
      </w:r>
      <w:r w:rsidR="00D338AA" w:rsidRPr="003F5D22">
        <w:rPr>
          <w:rFonts w:asciiTheme="minorBidi" w:hAnsiTheme="minorBidi"/>
          <w:color w:val="000000"/>
        </w:rPr>
        <w:t xml:space="preserve">in </w:t>
      </w:r>
      <w:r w:rsidR="00F80205" w:rsidRPr="003F5D22">
        <w:rPr>
          <w:rFonts w:asciiTheme="minorBidi" w:hAnsiTheme="minorBidi"/>
          <w:color w:val="000000"/>
        </w:rPr>
        <w:t>under</w:t>
      </w:r>
      <w:r w:rsidR="00F80205">
        <w:rPr>
          <w:rFonts w:asciiTheme="minorBidi" w:hAnsiTheme="minorBidi"/>
          <w:color w:val="000000"/>
        </w:rPr>
        <w:t>nourished</w:t>
      </w:r>
      <w:r w:rsidR="000B0BBC" w:rsidRPr="003F5D22">
        <w:rPr>
          <w:rFonts w:asciiTheme="minorBidi" w:hAnsiTheme="minorBidi"/>
          <w:color w:val="000000"/>
        </w:rPr>
        <w:t xml:space="preserve"> patients</w:t>
      </w:r>
      <w:r w:rsidR="00D338AA" w:rsidRPr="003F5D22">
        <w:rPr>
          <w:rFonts w:asciiTheme="minorBidi" w:hAnsiTheme="minorBidi"/>
          <w:color w:val="000000"/>
        </w:rPr>
        <w:t>,</w:t>
      </w:r>
      <w:r w:rsidR="000B0BBC" w:rsidRPr="003F5D22">
        <w:rPr>
          <w:rFonts w:asciiTheme="minorBidi" w:hAnsiTheme="minorBidi"/>
          <w:color w:val="000000"/>
        </w:rPr>
        <w:t xml:space="preserve"> </w:t>
      </w:r>
      <w:r w:rsidR="00D338AA" w:rsidRPr="003F5D22">
        <w:rPr>
          <w:rFonts w:asciiTheme="minorBidi" w:hAnsiTheme="minorBidi"/>
          <w:color w:val="000000"/>
        </w:rPr>
        <w:t xml:space="preserve">respiratory diseases were more </w:t>
      </w:r>
      <w:r w:rsidR="000B0BBC" w:rsidRPr="003F5D22">
        <w:rPr>
          <w:rFonts w:asciiTheme="minorBidi" w:hAnsiTheme="minorBidi"/>
          <w:color w:val="000000"/>
        </w:rPr>
        <w:t>(35%)</w:t>
      </w:r>
      <w:r w:rsidR="00D338AA" w:rsidRPr="003F5D22">
        <w:rPr>
          <w:rFonts w:asciiTheme="minorBidi" w:hAnsiTheme="minorBidi"/>
          <w:color w:val="000000"/>
        </w:rPr>
        <w:t xml:space="preserve"> and neurological diseases were less (5.6%) </w:t>
      </w:r>
      <w:r w:rsidR="004F35E5" w:rsidRPr="003F5D22">
        <w:rPr>
          <w:rFonts w:asciiTheme="minorBidi" w:hAnsiTheme="minorBidi"/>
          <w:color w:val="000000"/>
        </w:rPr>
        <w:t xml:space="preserve">and </w:t>
      </w:r>
      <w:r w:rsidR="00D338AA" w:rsidRPr="003F5D22">
        <w:rPr>
          <w:rFonts w:asciiTheme="minorBidi" w:hAnsiTheme="minorBidi"/>
          <w:color w:val="000000"/>
        </w:rPr>
        <w:t>in overweight and obese patients, the respiratory diseases were less</w:t>
      </w:r>
      <w:r w:rsidR="000B0BBC" w:rsidRPr="003F5D22">
        <w:rPr>
          <w:rFonts w:asciiTheme="minorBidi" w:hAnsiTheme="minorBidi"/>
          <w:color w:val="000000"/>
        </w:rPr>
        <w:t xml:space="preserve"> </w:t>
      </w:r>
      <w:r w:rsidR="00D338AA" w:rsidRPr="003F5D22">
        <w:rPr>
          <w:rFonts w:asciiTheme="minorBidi" w:hAnsiTheme="minorBidi"/>
          <w:color w:val="000000"/>
        </w:rPr>
        <w:t>(21%)</w:t>
      </w:r>
      <w:r w:rsidR="00067A99" w:rsidRPr="003F5D22">
        <w:rPr>
          <w:rFonts w:asciiTheme="minorBidi" w:hAnsiTheme="minorBidi"/>
          <w:color w:val="000000"/>
        </w:rPr>
        <w:t xml:space="preserve">  </w:t>
      </w:r>
      <w:r w:rsidR="00FD201E" w:rsidRPr="003F5D22">
        <w:rPr>
          <w:rFonts w:asciiTheme="minorBidi" w:hAnsiTheme="minorBidi"/>
          <w:color w:val="000000"/>
        </w:rPr>
        <w:t xml:space="preserve">and the neurological diseases </w:t>
      </w:r>
      <w:r w:rsidR="004F35E5" w:rsidRPr="003F5D22">
        <w:rPr>
          <w:rFonts w:asciiTheme="minorBidi" w:hAnsiTheme="minorBidi"/>
          <w:color w:val="000000"/>
        </w:rPr>
        <w:t>w</w:t>
      </w:r>
      <w:r w:rsidR="00F80205">
        <w:rPr>
          <w:rFonts w:asciiTheme="minorBidi" w:hAnsiTheme="minorBidi"/>
          <w:color w:val="000000"/>
        </w:rPr>
        <w:t>ere</w:t>
      </w:r>
      <w:r w:rsidR="00FD201E" w:rsidRPr="003F5D22">
        <w:rPr>
          <w:rFonts w:asciiTheme="minorBidi" w:hAnsiTheme="minorBidi"/>
          <w:color w:val="000000"/>
        </w:rPr>
        <w:t xml:space="preserve"> more common (61% )</w:t>
      </w:r>
      <w:r w:rsidR="008A6974" w:rsidRPr="003F5D22">
        <w:rPr>
          <w:rFonts w:asciiTheme="minorBidi" w:hAnsiTheme="minorBidi"/>
          <w:color w:val="000000"/>
        </w:rPr>
        <w:t xml:space="preserve">. </w:t>
      </w:r>
      <w:r w:rsidR="001636A8" w:rsidRPr="00397737">
        <w:rPr>
          <w:rFonts w:asciiTheme="minorBidi" w:hAnsiTheme="minorBidi"/>
          <w:u w:val="single"/>
        </w:rPr>
        <w:t>Conclusion</w:t>
      </w:r>
      <w:r w:rsidR="001636A8" w:rsidRPr="001636A8">
        <w:rPr>
          <w:rFonts w:asciiTheme="minorBidi" w:hAnsiTheme="minorBidi"/>
        </w:rPr>
        <w:t>:</w:t>
      </w:r>
      <w:r w:rsidR="001636A8">
        <w:rPr>
          <w:rFonts w:asciiTheme="minorBidi" w:hAnsiTheme="minorBidi"/>
        </w:rPr>
        <w:t xml:space="preserve"> In 1430 Hajj season, </w:t>
      </w:r>
      <w:r w:rsidR="00F318B9">
        <w:rPr>
          <w:rFonts w:asciiTheme="minorBidi" w:hAnsiTheme="minorBidi"/>
        </w:rPr>
        <w:t xml:space="preserve">163 patients were admitted </w:t>
      </w:r>
      <w:r w:rsidR="007622CE">
        <w:rPr>
          <w:rFonts w:asciiTheme="minorBidi" w:hAnsiTheme="minorBidi"/>
        </w:rPr>
        <w:t>at</w:t>
      </w:r>
      <w:r w:rsidR="00F318B9">
        <w:rPr>
          <w:rFonts w:asciiTheme="minorBidi" w:hAnsiTheme="minorBidi"/>
        </w:rPr>
        <w:t xml:space="preserve"> the medical department</w:t>
      </w:r>
      <w:r w:rsidR="00783B6A">
        <w:rPr>
          <w:rFonts w:asciiTheme="minorBidi" w:hAnsiTheme="minorBidi"/>
        </w:rPr>
        <w:t>.</w:t>
      </w:r>
      <w:r w:rsidR="004C5ACC">
        <w:rPr>
          <w:rFonts w:asciiTheme="minorBidi" w:hAnsiTheme="minorBidi"/>
        </w:rPr>
        <w:t xml:space="preserve"> </w:t>
      </w:r>
      <w:r w:rsidR="00783B6A" w:rsidRPr="003F5D22">
        <w:rPr>
          <w:rFonts w:asciiTheme="minorBidi" w:hAnsiTheme="minorBidi"/>
        </w:rPr>
        <w:t xml:space="preserve">The mean age was 59.4 ± 11 </w:t>
      </w:r>
      <w:proofErr w:type="spellStart"/>
      <w:r w:rsidR="00783B6A" w:rsidRPr="003F5D22">
        <w:rPr>
          <w:rFonts w:asciiTheme="minorBidi" w:hAnsiTheme="minorBidi"/>
        </w:rPr>
        <w:t>yrs</w:t>
      </w:r>
      <w:proofErr w:type="spellEnd"/>
      <w:r w:rsidR="00783B6A">
        <w:rPr>
          <w:rFonts w:asciiTheme="minorBidi" w:hAnsiTheme="minorBidi"/>
        </w:rPr>
        <w:t>,</w:t>
      </w:r>
      <w:r w:rsidR="00A666C8">
        <w:rPr>
          <w:rFonts w:asciiTheme="minorBidi" w:hAnsiTheme="minorBidi"/>
        </w:rPr>
        <w:t xml:space="preserve"> males were more than females (</w:t>
      </w:r>
      <w:r w:rsidR="004C5ACC">
        <w:rPr>
          <w:rFonts w:asciiTheme="minorBidi" w:hAnsiTheme="minorBidi"/>
        </w:rPr>
        <w:t>57.7%</w:t>
      </w:r>
      <w:r w:rsidR="00A666C8">
        <w:rPr>
          <w:rFonts w:asciiTheme="minorBidi" w:hAnsiTheme="minorBidi"/>
        </w:rPr>
        <w:t xml:space="preserve"> vs 42.3)</w:t>
      </w:r>
      <w:r w:rsidR="004C5ACC">
        <w:rPr>
          <w:rFonts w:asciiTheme="minorBidi" w:hAnsiTheme="minorBidi"/>
        </w:rPr>
        <w:t>,</w:t>
      </w:r>
      <w:r w:rsidR="00783B6A">
        <w:rPr>
          <w:rFonts w:asciiTheme="minorBidi" w:hAnsiTheme="minorBidi"/>
        </w:rPr>
        <w:t xml:space="preserve"> </w:t>
      </w:r>
      <w:r w:rsidR="004C5ACC">
        <w:rPr>
          <w:rFonts w:asciiTheme="minorBidi" w:hAnsiTheme="minorBidi"/>
        </w:rPr>
        <w:t xml:space="preserve">32% came from south Asia, </w:t>
      </w:r>
      <w:r w:rsidR="00783B6A">
        <w:rPr>
          <w:rFonts w:asciiTheme="minorBidi" w:hAnsiTheme="minorBidi"/>
        </w:rPr>
        <w:t xml:space="preserve">undernutrition was found </w:t>
      </w:r>
      <w:r w:rsidR="00122DB6">
        <w:rPr>
          <w:rFonts w:asciiTheme="minorBidi" w:hAnsiTheme="minorBidi"/>
        </w:rPr>
        <w:t>in 23.9</w:t>
      </w:r>
      <w:r w:rsidR="004C5ACC">
        <w:rPr>
          <w:rFonts w:asciiTheme="minorBidi" w:hAnsiTheme="minorBidi"/>
        </w:rPr>
        <w:t>%</w:t>
      </w:r>
      <w:r w:rsidR="00783B6A">
        <w:rPr>
          <w:rFonts w:asciiTheme="minorBidi" w:hAnsiTheme="minorBidi"/>
        </w:rPr>
        <w:t xml:space="preserve"> of patients, </w:t>
      </w:r>
      <w:r w:rsidR="004C5ACC">
        <w:rPr>
          <w:rFonts w:asciiTheme="minorBidi" w:hAnsiTheme="minorBidi"/>
        </w:rPr>
        <w:t xml:space="preserve">while 12.7% were obese, </w:t>
      </w:r>
      <w:r w:rsidR="001636A8">
        <w:rPr>
          <w:rFonts w:asciiTheme="minorBidi" w:hAnsiTheme="minorBidi"/>
        </w:rPr>
        <w:t xml:space="preserve">respiratory diseases </w:t>
      </w:r>
      <w:r w:rsidR="00F318B9">
        <w:rPr>
          <w:rFonts w:asciiTheme="minorBidi" w:hAnsiTheme="minorBidi"/>
        </w:rPr>
        <w:t>were</w:t>
      </w:r>
      <w:r w:rsidR="001636A8">
        <w:rPr>
          <w:rFonts w:asciiTheme="minorBidi" w:hAnsiTheme="minorBidi"/>
        </w:rPr>
        <w:t xml:space="preserve"> the commonest cause of </w:t>
      </w:r>
      <w:r w:rsidR="00397737">
        <w:rPr>
          <w:rFonts w:asciiTheme="minorBidi" w:hAnsiTheme="minorBidi"/>
        </w:rPr>
        <w:t>admission</w:t>
      </w:r>
      <w:r w:rsidR="00F318B9">
        <w:rPr>
          <w:rFonts w:asciiTheme="minorBidi" w:hAnsiTheme="minorBidi"/>
        </w:rPr>
        <w:t xml:space="preserve"> (44.2%)</w:t>
      </w:r>
      <w:r w:rsidR="00397737">
        <w:rPr>
          <w:rFonts w:asciiTheme="minorBidi" w:hAnsiTheme="minorBidi"/>
        </w:rPr>
        <w:t>;</w:t>
      </w:r>
      <w:r w:rsidR="001636A8">
        <w:rPr>
          <w:rFonts w:asciiTheme="minorBidi" w:hAnsiTheme="minorBidi"/>
        </w:rPr>
        <w:t xml:space="preserve"> it</w:t>
      </w:r>
      <w:r w:rsidR="007E0044">
        <w:rPr>
          <w:rFonts w:asciiTheme="minorBidi" w:hAnsiTheme="minorBidi"/>
        </w:rPr>
        <w:t xml:space="preserve"> was</w:t>
      </w:r>
      <w:r w:rsidR="001636A8">
        <w:rPr>
          <w:rFonts w:asciiTheme="minorBidi" w:hAnsiTheme="minorBidi"/>
        </w:rPr>
        <w:t xml:space="preserve"> more </w:t>
      </w:r>
      <w:r w:rsidR="007E0044">
        <w:rPr>
          <w:rFonts w:asciiTheme="minorBidi" w:hAnsiTheme="minorBidi"/>
        </w:rPr>
        <w:t xml:space="preserve">common </w:t>
      </w:r>
      <w:r w:rsidR="001636A8">
        <w:rPr>
          <w:rFonts w:asciiTheme="minorBidi" w:hAnsiTheme="minorBidi"/>
        </w:rPr>
        <w:t xml:space="preserve">in undernourished </w:t>
      </w:r>
      <w:r w:rsidR="007E0044">
        <w:rPr>
          <w:rFonts w:asciiTheme="minorBidi" w:hAnsiTheme="minorBidi"/>
        </w:rPr>
        <w:t xml:space="preserve">and less in obese patients </w:t>
      </w:r>
      <w:r w:rsidR="007622CE">
        <w:rPr>
          <w:rFonts w:asciiTheme="minorBidi" w:hAnsiTheme="minorBidi"/>
        </w:rPr>
        <w:t>in the reverse to</w:t>
      </w:r>
      <w:r w:rsidR="007E0044">
        <w:rPr>
          <w:rFonts w:asciiTheme="minorBidi" w:hAnsiTheme="minorBidi"/>
        </w:rPr>
        <w:t xml:space="preserve"> neurological disease</w:t>
      </w:r>
      <w:r w:rsidR="007622CE">
        <w:rPr>
          <w:rFonts w:asciiTheme="minorBidi" w:hAnsiTheme="minorBidi"/>
        </w:rPr>
        <w:t>.</w:t>
      </w:r>
      <w:r w:rsidR="007E0044">
        <w:rPr>
          <w:rFonts w:asciiTheme="minorBidi" w:hAnsiTheme="minorBidi"/>
        </w:rPr>
        <w:t xml:space="preserve"> </w:t>
      </w:r>
      <w:r w:rsidR="004C5ACC">
        <w:rPr>
          <w:rFonts w:asciiTheme="minorBidi" w:hAnsiTheme="minorBidi"/>
        </w:rPr>
        <w:t>Mean h</w:t>
      </w:r>
      <w:r w:rsidR="007622CE">
        <w:rPr>
          <w:rFonts w:asciiTheme="minorBidi" w:hAnsiTheme="minorBidi"/>
        </w:rPr>
        <w:t xml:space="preserve">ospital length of stay was </w:t>
      </w:r>
      <w:r w:rsidR="004C5ACC" w:rsidRPr="003F5D22">
        <w:rPr>
          <w:rFonts w:asciiTheme="minorBidi" w:hAnsiTheme="minorBidi"/>
        </w:rPr>
        <w:t xml:space="preserve">3.9±2.47 </w:t>
      </w:r>
      <w:r w:rsidR="004C5ACC">
        <w:rPr>
          <w:rFonts w:asciiTheme="minorBidi" w:hAnsiTheme="minorBidi"/>
        </w:rPr>
        <w:t>days</w:t>
      </w:r>
      <w:r w:rsidR="00783B6A">
        <w:rPr>
          <w:rFonts w:asciiTheme="minorBidi" w:hAnsiTheme="minorBidi"/>
        </w:rPr>
        <w:t>,</w:t>
      </w:r>
      <w:r w:rsidR="004C5ACC">
        <w:rPr>
          <w:rFonts w:asciiTheme="minorBidi" w:hAnsiTheme="minorBidi"/>
        </w:rPr>
        <w:t xml:space="preserve"> </w:t>
      </w:r>
      <w:r w:rsidR="00A666C8">
        <w:rPr>
          <w:rFonts w:asciiTheme="minorBidi" w:hAnsiTheme="minorBidi"/>
        </w:rPr>
        <w:t xml:space="preserve">HLOS </w:t>
      </w:r>
      <w:r w:rsidR="004C5ACC">
        <w:rPr>
          <w:rFonts w:asciiTheme="minorBidi" w:hAnsiTheme="minorBidi"/>
        </w:rPr>
        <w:t xml:space="preserve">was </w:t>
      </w:r>
      <w:r w:rsidR="007622CE">
        <w:rPr>
          <w:rFonts w:asciiTheme="minorBidi" w:hAnsiTheme="minorBidi"/>
        </w:rPr>
        <w:t>more</w:t>
      </w:r>
      <w:r w:rsidR="004C5ACC">
        <w:rPr>
          <w:rFonts w:asciiTheme="minorBidi" w:hAnsiTheme="minorBidi"/>
        </w:rPr>
        <w:t xml:space="preserve"> prolonged</w:t>
      </w:r>
      <w:r w:rsidR="007622CE">
        <w:rPr>
          <w:rFonts w:asciiTheme="minorBidi" w:hAnsiTheme="minorBidi"/>
        </w:rPr>
        <w:t xml:space="preserve"> in females and in obese patients</w:t>
      </w:r>
      <w:r w:rsidR="00B80E76">
        <w:rPr>
          <w:rFonts w:asciiTheme="minorBidi" w:hAnsiTheme="minorBidi"/>
        </w:rPr>
        <w:t>.</w:t>
      </w:r>
      <w:r w:rsidR="001636A8">
        <w:rPr>
          <w:rFonts w:asciiTheme="minorBidi" w:hAnsiTheme="minorBidi"/>
        </w:rPr>
        <w:t xml:space="preserve"> </w:t>
      </w:r>
      <w:r w:rsidR="00F318B9">
        <w:rPr>
          <w:rFonts w:asciiTheme="minorBidi" w:hAnsiTheme="minorBidi"/>
        </w:rPr>
        <w:t xml:space="preserve"> </w:t>
      </w:r>
    </w:p>
    <w:p w:rsidR="00F25D0A" w:rsidRDefault="00F25D0A" w:rsidP="00F25D0A">
      <w:pPr>
        <w:bidi w:val="0"/>
        <w:jc w:val="center"/>
        <w:rPr>
          <w:b/>
          <w:bCs/>
        </w:rPr>
      </w:pPr>
      <w:r>
        <w:rPr>
          <w:b/>
          <w:bCs/>
        </w:rPr>
        <w:lastRenderedPageBreak/>
        <w:t>Introduction</w:t>
      </w:r>
    </w:p>
    <w:p w:rsidR="00543D78" w:rsidRDefault="00AF1F60" w:rsidP="004C2F01">
      <w:pPr>
        <w:autoSpaceDE w:val="0"/>
        <w:autoSpaceDN w:val="0"/>
        <w:bidi w:val="0"/>
        <w:adjustRightInd w:val="0"/>
        <w:spacing w:after="0" w:line="240" w:lineRule="auto"/>
        <w:ind w:firstLine="720"/>
      </w:pPr>
      <w:r w:rsidRPr="00556FC3">
        <w:t xml:space="preserve">Hajj </w:t>
      </w:r>
      <w:r w:rsidR="0007302D">
        <w:t>(</w:t>
      </w:r>
      <w:r w:rsidR="0007302D" w:rsidRPr="0007302D">
        <w:t>holy pilgrimage</w:t>
      </w:r>
      <w:r w:rsidR="0007302D">
        <w:t>)</w:t>
      </w:r>
      <w:r w:rsidRPr="00556FC3">
        <w:t xml:space="preserve"> is a cosmopolitan conference</w:t>
      </w:r>
      <w:r w:rsidR="0007302D" w:rsidRPr="0007302D">
        <w:t>, which takes place</w:t>
      </w:r>
      <w:r w:rsidR="0074122F">
        <w:t xml:space="preserve"> annually </w:t>
      </w:r>
      <w:r w:rsidR="0007302D" w:rsidRPr="0007302D">
        <w:t>in the 12th month of the Islamic lunar calendar</w:t>
      </w:r>
      <w:r w:rsidR="00E62E30">
        <w:t>, it</w:t>
      </w:r>
      <w:r w:rsidR="00E62E30" w:rsidRPr="00E62E30">
        <w:t xml:space="preserve"> is one of the largest, most culturally and geographically diverse mass gatherings in the world</w:t>
      </w:r>
      <w:r w:rsidR="00E62E30">
        <w:t xml:space="preserve">. </w:t>
      </w:r>
      <w:r w:rsidRPr="00556FC3">
        <w:t>Makkah hosts</w:t>
      </w:r>
      <w:r w:rsidR="0074122F" w:rsidRPr="0074122F">
        <w:t xml:space="preserve"> </w:t>
      </w:r>
      <w:r w:rsidR="0074122F">
        <w:t>ove</w:t>
      </w:r>
      <w:r w:rsidR="0074122F" w:rsidRPr="0074122F">
        <w:t xml:space="preserve">r 2 </w:t>
      </w:r>
      <w:r w:rsidR="00996FCB" w:rsidRPr="0074122F">
        <w:t>million</w:t>
      </w:r>
      <w:r w:rsidR="0074122F" w:rsidRPr="0074122F">
        <w:t xml:space="preserve"> </w:t>
      </w:r>
      <w:r w:rsidR="00996FCB">
        <w:t xml:space="preserve">of </w:t>
      </w:r>
      <w:r w:rsidR="00A666C8">
        <w:t>Muslims</w:t>
      </w:r>
      <w:r w:rsidR="0074122F">
        <w:t xml:space="preserve"> coming</w:t>
      </w:r>
      <w:r w:rsidR="0074122F" w:rsidRPr="0074122F">
        <w:t xml:space="preserve"> from </w:t>
      </w:r>
      <w:r w:rsidR="00996FCB">
        <w:t xml:space="preserve">more than </w:t>
      </w:r>
      <w:r w:rsidR="0074122F" w:rsidRPr="0074122F">
        <w:t>140 countries</w:t>
      </w:r>
      <w:r w:rsidR="00543D78">
        <w:rPr>
          <w:rFonts w:cs="Arial"/>
          <w:rtl/>
        </w:rPr>
        <w:t>.</w:t>
      </w:r>
      <w:r w:rsidR="00DF05C6">
        <w:t>(</w:t>
      </w:r>
      <w:r w:rsidR="00B71EC6">
        <w:t xml:space="preserve"> </w:t>
      </w:r>
      <w:proofErr w:type="spellStart"/>
      <w:r w:rsidR="00B71EC6">
        <w:t>Memish</w:t>
      </w:r>
      <w:proofErr w:type="spellEnd"/>
      <w:r w:rsidR="00B71EC6">
        <w:t xml:space="preserve"> et al., 2012</w:t>
      </w:r>
      <w:r w:rsidR="00DF05C6">
        <w:t>)</w:t>
      </w:r>
      <w:r w:rsidR="00E62E30">
        <w:t xml:space="preserve">. </w:t>
      </w:r>
    </w:p>
    <w:p w:rsidR="00837A4B" w:rsidRDefault="00837A4B" w:rsidP="00B71EC6">
      <w:pPr>
        <w:autoSpaceDE w:val="0"/>
        <w:autoSpaceDN w:val="0"/>
        <w:bidi w:val="0"/>
        <w:adjustRightInd w:val="0"/>
        <w:spacing w:after="0" w:line="240" w:lineRule="auto"/>
      </w:pPr>
      <w:r>
        <w:t xml:space="preserve">                </w:t>
      </w:r>
    </w:p>
    <w:p w:rsidR="00543D78" w:rsidRDefault="00543D78" w:rsidP="004C2F01">
      <w:pPr>
        <w:autoSpaceDE w:val="0"/>
        <w:autoSpaceDN w:val="0"/>
        <w:bidi w:val="0"/>
        <w:adjustRightInd w:val="0"/>
        <w:spacing w:after="0" w:line="240" w:lineRule="auto"/>
        <w:ind w:firstLine="720"/>
      </w:pPr>
      <w:r>
        <w:t xml:space="preserve">Performance of the Hajj is physically demanding. Extreme physical stressors such as sun </w:t>
      </w:r>
      <w:r w:rsidR="00DF05C6">
        <w:t>exposure,</w:t>
      </w:r>
      <w:r>
        <w:t xml:space="preserve"> crowding and traffic congestions increase health risks</w:t>
      </w:r>
      <w:r w:rsidR="00DF05C6">
        <w:t>. Also,</w:t>
      </w:r>
      <w:r>
        <w:t xml:space="preserve"> pilgrims tend to be older and many have medical </w:t>
      </w:r>
      <w:r w:rsidR="00DF05C6">
        <w:t>comorbidities (</w:t>
      </w:r>
      <w:proofErr w:type="spellStart"/>
      <w:r w:rsidR="005D7C32">
        <w:t>Gautret</w:t>
      </w:r>
      <w:proofErr w:type="spellEnd"/>
      <w:r w:rsidR="005D7C32">
        <w:t xml:space="preserve"> et al., 2009)</w:t>
      </w:r>
      <w:r>
        <w:t>, these factors exacerbate existing risk for disease, fluid and electrolyte abnormalities, and respiratory</w:t>
      </w:r>
      <w:r w:rsidR="005D7C32">
        <w:t xml:space="preserve"> and other infectious diseases (</w:t>
      </w:r>
      <w:proofErr w:type="spellStart"/>
      <w:r w:rsidR="005D7C32" w:rsidRPr="005D7C32">
        <w:t>Mandourah</w:t>
      </w:r>
      <w:proofErr w:type="spellEnd"/>
      <w:r w:rsidR="005D7C32">
        <w:t xml:space="preserve"> et al., 2012)</w:t>
      </w:r>
    </w:p>
    <w:p w:rsidR="00DF05C6" w:rsidRDefault="00DF05C6" w:rsidP="00DF05C6">
      <w:pPr>
        <w:autoSpaceDE w:val="0"/>
        <w:autoSpaceDN w:val="0"/>
        <w:bidi w:val="0"/>
        <w:adjustRightInd w:val="0"/>
        <w:spacing w:after="0" w:line="240" w:lineRule="auto"/>
      </w:pPr>
    </w:p>
    <w:p w:rsidR="00F85A85" w:rsidRDefault="004C2F01" w:rsidP="004C2F01">
      <w:pPr>
        <w:autoSpaceDE w:val="0"/>
        <w:autoSpaceDN w:val="0"/>
        <w:bidi w:val="0"/>
        <w:adjustRightInd w:val="0"/>
        <w:spacing w:after="0" w:line="240" w:lineRule="auto"/>
        <w:ind w:firstLine="720"/>
      </w:pPr>
      <w:r>
        <w:t>Pilgrims a</w:t>
      </w:r>
      <w:r w:rsidR="00DF05C6">
        <w:t xml:space="preserve">re coming from </w:t>
      </w:r>
      <w:r>
        <w:t>all around the world</w:t>
      </w:r>
      <w:r w:rsidR="00DF05C6" w:rsidRPr="00DF05C6">
        <w:t xml:space="preserve"> differing in their health and nutrition states</w:t>
      </w:r>
      <w:r>
        <w:t xml:space="preserve">. </w:t>
      </w:r>
      <w:r w:rsidR="00AE7354">
        <w:t>A</w:t>
      </w:r>
      <w:r w:rsidR="00044511">
        <w:t>ccording to the</w:t>
      </w:r>
      <w:r w:rsidR="00AE7354">
        <w:t xml:space="preserve"> </w:t>
      </w:r>
      <w:r w:rsidR="00044511" w:rsidRPr="00044511">
        <w:t>Medical Subject Headings (</w:t>
      </w:r>
      <w:proofErr w:type="spellStart"/>
      <w:r w:rsidR="00044511" w:rsidRPr="00044511">
        <w:t>MeSH</w:t>
      </w:r>
      <w:proofErr w:type="spellEnd"/>
      <w:r w:rsidR="00044511" w:rsidRPr="00044511">
        <w:t>®)</w:t>
      </w:r>
      <w:r w:rsidR="00AE7354" w:rsidRPr="00AE7354">
        <w:t xml:space="preserve"> </w:t>
      </w:r>
      <w:r w:rsidR="00AE7354">
        <w:t>n</w:t>
      </w:r>
      <w:r w:rsidR="00AE7354" w:rsidRPr="00AE7354">
        <w:t>utrition status</w:t>
      </w:r>
      <w:r w:rsidR="00044511">
        <w:t xml:space="preserve"> is the state of the body in relation to the consumpti</w:t>
      </w:r>
      <w:r>
        <w:t>on and utilization of nutrients and m</w:t>
      </w:r>
      <w:r w:rsidR="00AE7354">
        <w:t>alnutrition is defined by t</w:t>
      </w:r>
      <w:r w:rsidR="00B155E5" w:rsidRPr="00B155E5">
        <w:t xml:space="preserve">he European Society of Clinical Nutrition and Metabolism (ESPEN) as “a state of nutrition in which a deficiency or excess (or imbalance) of energy, protein, and other nutrients causes measurable adverse effects on tissue/body form (body shape, size and composition) and function, and clinical outcome” </w:t>
      </w:r>
      <w:r w:rsidR="005D7C32">
        <w:t>(</w:t>
      </w:r>
      <w:r w:rsidR="005D7C32" w:rsidRPr="005D7C32">
        <w:t>Lochs</w:t>
      </w:r>
      <w:r w:rsidR="005D7C32">
        <w:t xml:space="preserve"> et al., 2006)</w:t>
      </w:r>
      <w:r w:rsidR="00F85A85" w:rsidRPr="00F85A85">
        <w:t xml:space="preserve"> </w:t>
      </w:r>
    </w:p>
    <w:p w:rsidR="00B155E5" w:rsidRDefault="00F85A85" w:rsidP="009E350A">
      <w:pPr>
        <w:autoSpaceDE w:val="0"/>
        <w:autoSpaceDN w:val="0"/>
        <w:bidi w:val="0"/>
        <w:adjustRightInd w:val="0"/>
        <w:spacing w:after="0" w:line="240" w:lineRule="auto"/>
        <w:ind w:firstLine="720"/>
      </w:pPr>
      <w:r w:rsidRPr="00F85A85">
        <w:t>The purpose of nutritional screening is to rapidly identify patients at high nutritional risk.  The purpose of nutritional assessment, however, is to define a patient’s nutritional status, to define clinically relevant malnutrition and to monitor changes in nutritional status</w:t>
      </w:r>
      <w:r>
        <w:t xml:space="preserve"> </w:t>
      </w:r>
      <w:r w:rsidRPr="00F85A85">
        <w:t>(Kyle</w:t>
      </w:r>
      <w:r w:rsidR="009E350A">
        <w:t xml:space="preserve"> and Coss-Bu</w:t>
      </w:r>
      <w:r w:rsidRPr="00F85A85">
        <w:t>, 2010)</w:t>
      </w:r>
    </w:p>
    <w:p w:rsidR="004C2F01" w:rsidRDefault="004C2F01" w:rsidP="004C2F01">
      <w:pPr>
        <w:autoSpaceDE w:val="0"/>
        <w:autoSpaceDN w:val="0"/>
        <w:bidi w:val="0"/>
        <w:adjustRightInd w:val="0"/>
        <w:spacing w:after="0" w:line="240" w:lineRule="auto"/>
      </w:pPr>
      <w:r>
        <w:tab/>
      </w:r>
    </w:p>
    <w:p w:rsidR="001868B2" w:rsidRPr="00FD3C53" w:rsidRDefault="004C2F01" w:rsidP="00454552">
      <w:pPr>
        <w:autoSpaceDE w:val="0"/>
        <w:autoSpaceDN w:val="0"/>
        <w:bidi w:val="0"/>
        <w:adjustRightInd w:val="0"/>
        <w:spacing w:after="0" w:line="240" w:lineRule="auto"/>
      </w:pPr>
      <w:r>
        <w:rPr>
          <w:rFonts w:ascii="MyriadPro-Regular" w:cs="MyriadPro-Regular"/>
        </w:rPr>
        <w:tab/>
      </w:r>
      <w:r w:rsidRPr="00FD3C53">
        <w:rPr>
          <w:rFonts w:cs="MyriadPro-Regular"/>
        </w:rPr>
        <w:t>The KSA provides free healthcare to all pilgrims during the Hajj. In 2009, the KSA Ministry of Health prepared 24 hospitals with a total bed capacity of 4,964 beds. (</w:t>
      </w:r>
      <w:proofErr w:type="spellStart"/>
      <w:r w:rsidRPr="00FD3C53">
        <w:rPr>
          <w:rFonts w:cs="MyriadPro-Regular"/>
        </w:rPr>
        <w:t>Memish</w:t>
      </w:r>
      <w:proofErr w:type="spellEnd"/>
      <w:r w:rsidRPr="00FD3C53">
        <w:rPr>
          <w:rFonts w:cs="MyriadPro-Regular"/>
        </w:rPr>
        <w:t>,  2010)</w:t>
      </w:r>
      <w:r w:rsidR="00454552">
        <w:t>.</w:t>
      </w:r>
      <w:r w:rsidR="00FD3C53" w:rsidRPr="00FD3C53">
        <w:t xml:space="preserve"> </w:t>
      </w:r>
      <w:r w:rsidR="00FD3C53" w:rsidRPr="00FD3C53">
        <w:rPr>
          <w:rFonts w:cs="MyriadPro-Regular"/>
        </w:rPr>
        <w:t xml:space="preserve">Hospital length of stay (LOS) has been used as a surrogate marker for patients’ well-being during hospital treatment and as an indicator of health care efficiency. (Murphy and </w:t>
      </w:r>
      <w:proofErr w:type="spellStart"/>
      <w:r w:rsidR="00FD3C53" w:rsidRPr="00FD3C53">
        <w:rPr>
          <w:rFonts w:cs="MyriadPro-Regular"/>
        </w:rPr>
        <w:t>Noetscher</w:t>
      </w:r>
      <w:proofErr w:type="spellEnd"/>
      <w:r w:rsidR="00FD3C53" w:rsidRPr="00FD3C53">
        <w:rPr>
          <w:rFonts w:cs="MyriadPro-Regular"/>
        </w:rPr>
        <w:t>, 1999).</w:t>
      </w:r>
      <w:r w:rsidR="00FD3C53">
        <w:rPr>
          <w:rFonts w:cs="MyriadPro-Regular"/>
        </w:rPr>
        <w:t xml:space="preserve"> </w:t>
      </w:r>
      <w:r w:rsidR="00EB3DD1" w:rsidRPr="00FD3C53">
        <w:t xml:space="preserve">Hospital </w:t>
      </w:r>
      <w:r w:rsidR="001868B2" w:rsidRPr="00FD3C53">
        <w:t>length of stay (LOS</w:t>
      </w:r>
      <w:r w:rsidR="00CB27CC" w:rsidRPr="00FD3C53">
        <w:rPr>
          <w:rFonts w:cs="Arial"/>
        </w:rPr>
        <w:t xml:space="preserve">) is defined by </w:t>
      </w:r>
      <w:r w:rsidR="001868B2" w:rsidRPr="00FD3C53">
        <w:t>the</w:t>
      </w:r>
      <w:r w:rsidR="00CB27CC" w:rsidRPr="00FD3C53">
        <w:t xml:space="preserve"> Mosby's Medical Dictionary as the</w:t>
      </w:r>
      <w:r w:rsidR="001868B2" w:rsidRPr="00FD3C53">
        <w:t xml:space="preserve"> period of time a patient remains in a hospital or other health care facility as an inpatient</w:t>
      </w:r>
      <w:r w:rsidR="001868B2" w:rsidRPr="00FD3C53">
        <w:rPr>
          <w:rFonts w:cs="Arial"/>
          <w:rtl/>
        </w:rPr>
        <w:t xml:space="preserve">. </w:t>
      </w:r>
    </w:p>
    <w:p w:rsidR="00327B63" w:rsidRPr="00FD3C53" w:rsidRDefault="00327B63" w:rsidP="001868B2">
      <w:pPr>
        <w:bidi w:val="0"/>
      </w:pPr>
    </w:p>
    <w:p w:rsidR="00BF67D9" w:rsidRPr="00122DB6" w:rsidRDefault="00EB3DD1" w:rsidP="004E0DD0">
      <w:pPr>
        <w:bidi w:val="0"/>
        <w:ind w:firstLine="720"/>
        <w:rPr>
          <w:rtl/>
        </w:rPr>
      </w:pPr>
      <w:r w:rsidRPr="00122DB6">
        <w:t>The aim of the study was to assess</w:t>
      </w:r>
      <w:r w:rsidR="004E0DD0" w:rsidRPr="00122DB6">
        <w:t xml:space="preserve"> the demographic characters and </w:t>
      </w:r>
      <w:r w:rsidRPr="00122DB6">
        <w:t xml:space="preserve">the nutritional status of Hajj patients </w:t>
      </w:r>
      <w:r w:rsidR="00454552" w:rsidRPr="00122DB6">
        <w:t>admitted</w:t>
      </w:r>
      <w:r w:rsidRPr="00122DB6">
        <w:t xml:space="preserve"> at the medical department, Al Noor hospital, Makkah, and its relation to the cause of admission and hospital length of stay (HLOS</w:t>
      </w:r>
      <w:r w:rsidR="00454552" w:rsidRPr="00122DB6">
        <w:t>).</w:t>
      </w:r>
    </w:p>
    <w:p w:rsidR="00BF67D9" w:rsidRPr="00122DB6" w:rsidRDefault="00BF67D9" w:rsidP="00BF67D9">
      <w:pPr>
        <w:bidi w:val="0"/>
        <w:jc w:val="center"/>
      </w:pPr>
    </w:p>
    <w:p w:rsidR="00FF6903" w:rsidRDefault="00FF6903" w:rsidP="00B87596">
      <w:pPr>
        <w:bidi w:val="0"/>
        <w:jc w:val="center"/>
        <w:rPr>
          <w:b/>
          <w:bCs/>
          <w:sz w:val="40"/>
          <w:szCs w:val="40"/>
        </w:rPr>
      </w:pPr>
    </w:p>
    <w:p w:rsidR="00FF6903" w:rsidRDefault="00FF6903" w:rsidP="00FF6903">
      <w:pPr>
        <w:bidi w:val="0"/>
        <w:jc w:val="center"/>
        <w:rPr>
          <w:b/>
          <w:bCs/>
          <w:sz w:val="40"/>
          <w:szCs w:val="40"/>
        </w:rPr>
      </w:pPr>
    </w:p>
    <w:p w:rsidR="00FF6903" w:rsidRDefault="00FF6903" w:rsidP="00FF6903">
      <w:pPr>
        <w:bidi w:val="0"/>
        <w:jc w:val="center"/>
        <w:rPr>
          <w:b/>
          <w:bCs/>
          <w:sz w:val="40"/>
          <w:szCs w:val="40"/>
        </w:rPr>
      </w:pPr>
    </w:p>
    <w:p w:rsidR="00FF6903" w:rsidRDefault="00FF6903" w:rsidP="00FF6903">
      <w:pPr>
        <w:bidi w:val="0"/>
        <w:jc w:val="center"/>
        <w:rPr>
          <w:b/>
          <w:bCs/>
          <w:sz w:val="40"/>
          <w:szCs w:val="40"/>
        </w:rPr>
      </w:pPr>
    </w:p>
    <w:p w:rsidR="0050200C" w:rsidRDefault="00654B52" w:rsidP="00FF6903">
      <w:pPr>
        <w:bidi w:val="0"/>
        <w:jc w:val="center"/>
        <w:rPr>
          <w:b/>
          <w:bCs/>
          <w:sz w:val="40"/>
          <w:szCs w:val="40"/>
        </w:rPr>
      </w:pPr>
      <w:r w:rsidRPr="00654B52">
        <w:rPr>
          <w:b/>
          <w:bCs/>
          <w:sz w:val="40"/>
          <w:szCs w:val="40"/>
        </w:rPr>
        <w:lastRenderedPageBreak/>
        <w:t>Patients and methods</w:t>
      </w:r>
    </w:p>
    <w:p w:rsidR="00BF67D9" w:rsidRPr="001C33FB" w:rsidRDefault="00BF67D9" w:rsidP="00BF67D9">
      <w:pPr>
        <w:autoSpaceDE w:val="0"/>
        <w:autoSpaceDN w:val="0"/>
        <w:bidi w:val="0"/>
        <w:adjustRightInd w:val="0"/>
        <w:spacing w:after="0" w:line="240" w:lineRule="auto"/>
        <w:rPr>
          <w:rFonts w:ascii="Times-Italic" w:hAnsi="Times-Italic" w:cs="Times-Italic"/>
          <w:i/>
          <w:iCs/>
          <w:sz w:val="30"/>
          <w:szCs w:val="30"/>
        </w:rPr>
      </w:pPr>
    </w:p>
    <w:p w:rsidR="0050200C" w:rsidRDefault="0050200C" w:rsidP="00A7607B">
      <w:pPr>
        <w:autoSpaceDE w:val="0"/>
        <w:autoSpaceDN w:val="0"/>
        <w:bidi w:val="0"/>
        <w:adjustRightInd w:val="0"/>
        <w:spacing w:after="0" w:line="240" w:lineRule="auto"/>
        <w:ind w:firstLine="720"/>
        <w:rPr>
          <w:rFonts w:cs="Times-Italic"/>
        </w:rPr>
      </w:pPr>
      <w:r w:rsidRPr="00556FC3">
        <w:rPr>
          <w:rFonts w:cs="Times-Roman"/>
        </w:rPr>
        <w:t xml:space="preserve">This </w:t>
      </w:r>
      <w:r w:rsidR="00E25039" w:rsidRPr="00556FC3">
        <w:rPr>
          <w:rFonts w:cs="Times-Roman"/>
        </w:rPr>
        <w:t>i</w:t>
      </w:r>
      <w:r w:rsidRPr="00556FC3">
        <w:rPr>
          <w:rFonts w:cs="Times-Roman"/>
        </w:rPr>
        <w:t xml:space="preserve">s a </w:t>
      </w:r>
      <w:r w:rsidR="003E1738" w:rsidRPr="00556FC3">
        <w:rPr>
          <w:rFonts w:cs="Times-Roman"/>
        </w:rPr>
        <w:t xml:space="preserve">prospective, descriptive </w:t>
      </w:r>
      <w:r w:rsidRPr="00556FC3">
        <w:rPr>
          <w:rFonts w:cs="Times-Roman"/>
        </w:rPr>
        <w:t>cross-sectional study including 163 consecutive</w:t>
      </w:r>
      <w:r w:rsidR="00730976" w:rsidRPr="00556FC3">
        <w:rPr>
          <w:rFonts w:cs="Times-Roman"/>
        </w:rPr>
        <w:t xml:space="preserve"> Hajj</w:t>
      </w:r>
      <w:r w:rsidRPr="00556FC3">
        <w:rPr>
          <w:rFonts w:cs="Times-Roman"/>
        </w:rPr>
        <w:t xml:space="preserve"> patients admitted </w:t>
      </w:r>
      <w:r w:rsidR="003E1738" w:rsidRPr="00556FC3">
        <w:rPr>
          <w:rFonts w:cs="Times-Roman"/>
        </w:rPr>
        <w:t>at</w:t>
      </w:r>
      <w:r w:rsidR="00A01304" w:rsidRPr="00556FC3">
        <w:rPr>
          <w:rFonts w:cs="Times-Roman"/>
        </w:rPr>
        <w:t xml:space="preserve"> the medical </w:t>
      </w:r>
      <w:r w:rsidR="00E86D78" w:rsidRPr="00556FC3">
        <w:rPr>
          <w:rFonts w:cs="Times-Roman"/>
        </w:rPr>
        <w:t>department</w:t>
      </w:r>
      <w:r w:rsidR="00C66AD9" w:rsidRPr="00556FC3">
        <w:rPr>
          <w:rFonts w:cs="Times-Roman"/>
        </w:rPr>
        <w:t>, Al</w:t>
      </w:r>
      <w:r w:rsidRPr="00556FC3">
        <w:rPr>
          <w:rFonts w:cs="Times-Roman"/>
        </w:rPr>
        <w:t xml:space="preserve"> Noor Specialist Hospital</w:t>
      </w:r>
      <w:r w:rsidR="00F8191E" w:rsidRPr="00556FC3">
        <w:rPr>
          <w:rFonts w:cs="Times-Roman"/>
        </w:rPr>
        <w:t>,</w:t>
      </w:r>
      <w:r w:rsidRPr="00556FC3">
        <w:rPr>
          <w:rFonts w:cs="Times-Roman"/>
        </w:rPr>
        <w:t xml:space="preserve"> </w:t>
      </w:r>
      <w:r w:rsidR="00200800">
        <w:rPr>
          <w:rFonts w:cs="Times-Roman"/>
        </w:rPr>
        <w:t>which is</w:t>
      </w:r>
      <w:r w:rsidR="00200800" w:rsidRPr="00200800">
        <w:rPr>
          <w:rFonts w:cs="Times-Roman"/>
        </w:rPr>
        <w:t xml:space="preserve"> a 550-bed tertiary care teaching hospital, in Makkah,</w:t>
      </w:r>
      <w:r w:rsidR="00200800">
        <w:rPr>
          <w:rFonts w:cs="Times-Roman"/>
        </w:rPr>
        <w:t xml:space="preserve"> KSA.</w:t>
      </w:r>
      <w:r w:rsidR="00200800" w:rsidRPr="00200800">
        <w:rPr>
          <w:rFonts w:cs="Times-Roman"/>
        </w:rPr>
        <w:t xml:space="preserve"> </w:t>
      </w:r>
      <w:r w:rsidRPr="00556FC3">
        <w:rPr>
          <w:rFonts w:cs="Times-Roman"/>
        </w:rPr>
        <w:t xml:space="preserve">The inclusion criteria </w:t>
      </w:r>
      <w:r w:rsidR="00200800">
        <w:rPr>
          <w:rFonts w:cs="Times-Roman"/>
        </w:rPr>
        <w:t xml:space="preserve">included </w:t>
      </w:r>
      <w:r w:rsidR="00DB429F" w:rsidRPr="00556FC3">
        <w:rPr>
          <w:rFonts w:cs="Times-Roman"/>
        </w:rPr>
        <w:t>all</w:t>
      </w:r>
      <w:r w:rsidR="00200800">
        <w:rPr>
          <w:rFonts w:cs="Times-Roman"/>
        </w:rPr>
        <w:t xml:space="preserve"> adult non-Saudi</w:t>
      </w:r>
      <w:r w:rsidR="00DB429F" w:rsidRPr="00556FC3">
        <w:rPr>
          <w:rFonts w:cs="Times-Roman"/>
        </w:rPr>
        <w:t xml:space="preserve"> hajj </w:t>
      </w:r>
      <w:r w:rsidR="00200800">
        <w:rPr>
          <w:rFonts w:cs="Times-Roman"/>
        </w:rPr>
        <w:t>patients</w:t>
      </w:r>
      <w:r w:rsidR="00DB429F" w:rsidRPr="00556FC3">
        <w:rPr>
          <w:rFonts w:cs="Times-Roman"/>
        </w:rPr>
        <w:t xml:space="preserve">, </w:t>
      </w:r>
      <w:r w:rsidR="00A01304" w:rsidRPr="00556FC3">
        <w:rPr>
          <w:rFonts w:cs="Times-Roman"/>
        </w:rPr>
        <w:t xml:space="preserve">admitted </w:t>
      </w:r>
      <w:r w:rsidR="00DB429F" w:rsidRPr="00556FC3">
        <w:rPr>
          <w:rFonts w:cs="Times-Roman"/>
        </w:rPr>
        <w:t xml:space="preserve">during </w:t>
      </w:r>
      <w:r w:rsidR="00437713">
        <w:rPr>
          <w:rFonts w:cs="Times-Roman"/>
        </w:rPr>
        <w:t>the period</w:t>
      </w:r>
      <w:r w:rsidR="00DB429F" w:rsidRPr="00556FC3">
        <w:rPr>
          <w:rFonts w:cs="Times-Roman"/>
        </w:rPr>
        <w:t xml:space="preserve"> (</w:t>
      </w:r>
      <w:r w:rsidR="00437713">
        <w:rPr>
          <w:rFonts w:cs="Times-Roman"/>
        </w:rPr>
        <w:t>1</w:t>
      </w:r>
      <w:r w:rsidR="00DB429F" w:rsidRPr="00556FC3">
        <w:rPr>
          <w:rFonts w:cs="Times-Roman"/>
        </w:rPr>
        <w:t xml:space="preserve"> to </w:t>
      </w:r>
      <w:r w:rsidR="005A6058">
        <w:rPr>
          <w:rFonts w:cs="Times-Roman"/>
        </w:rPr>
        <w:t>20</w:t>
      </w:r>
      <w:r w:rsidR="00DB429F" w:rsidRPr="00556FC3">
        <w:rPr>
          <w:rFonts w:cs="Times-Roman"/>
        </w:rPr>
        <w:t xml:space="preserve">/12/1430 H – </w:t>
      </w:r>
      <w:r w:rsidR="005A6058">
        <w:rPr>
          <w:rFonts w:cs="Times-Roman"/>
        </w:rPr>
        <w:t>1</w:t>
      </w:r>
      <w:r w:rsidR="00E25039" w:rsidRPr="00556FC3">
        <w:rPr>
          <w:rFonts w:cs="Times-Roman"/>
        </w:rPr>
        <w:t>8/11</w:t>
      </w:r>
      <w:r w:rsidR="00A7607B">
        <w:rPr>
          <w:rFonts w:cs="Times-Roman"/>
        </w:rPr>
        <w:t xml:space="preserve"> </w:t>
      </w:r>
      <w:r w:rsidR="00E25039" w:rsidRPr="00556FC3">
        <w:rPr>
          <w:rFonts w:cs="Times-Roman"/>
        </w:rPr>
        <w:t xml:space="preserve">to </w:t>
      </w:r>
      <w:r w:rsidR="005A6058">
        <w:rPr>
          <w:rFonts w:cs="Times-Roman"/>
        </w:rPr>
        <w:t>7</w:t>
      </w:r>
      <w:r w:rsidR="00E25039" w:rsidRPr="00556FC3">
        <w:rPr>
          <w:rFonts w:cs="Times-Roman"/>
        </w:rPr>
        <w:t>/12/2009</w:t>
      </w:r>
      <w:r w:rsidR="00DB429F" w:rsidRPr="00556FC3">
        <w:rPr>
          <w:rFonts w:cs="Times-Roman"/>
        </w:rPr>
        <w:t>)</w:t>
      </w:r>
      <w:r w:rsidRPr="00556FC3">
        <w:rPr>
          <w:rFonts w:cs="Times-Roman"/>
        </w:rPr>
        <w:t xml:space="preserve">. </w:t>
      </w:r>
      <w:r w:rsidR="00BC7E9E" w:rsidRPr="00556FC3">
        <w:rPr>
          <w:rFonts w:cstheme="majorBidi"/>
        </w:rPr>
        <w:t xml:space="preserve">All patients were </w:t>
      </w:r>
      <w:r w:rsidR="00685F95" w:rsidRPr="00556FC3">
        <w:rPr>
          <w:rFonts w:cstheme="majorBidi"/>
        </w:rPr>
        <w:t xml:space="preserve">evaluated for </w:t>
      </w:r>
      <w:r w:rsidR="00C66AD9" w:rsidRPr="00556FC3">
        <w:rPr>
          <w:rFonts w:cs="Times-Italic"/>
        </w:rPr>
        <w:t xml:space="preserve">demographic characters: age, sex, and nationality; </w:t>
      </w:r>
      <w:r w:rsidR="00A01304" w:rsidRPr="00556FC3">
        <w:rPr>
          <w:rFonts w:cs="Times-Italic"/>
        </w:rPr>
        <w:t>cause of admission</w:t>
      </w:r>
      <w:r w:rsidR="00A01304" w:rsidRPr="00556FC3">
        <w:rPr>
          <w:rFonts w:cstheme="majorBidi"/>
        </w:rPr>
        <w:t xml:space="preserve">, </w:t>
      </w:r>
      <w:r w:rsidR="00685F95" w:rsidRPr="00556FC3">
        <w:rPr>
          <w:rFonts w:cstheme="majorBidi"/>
        </w:rPr>
        <w:t>nutritional status</w:t>
      </w:r>
      <w:r w:rsidR="00A7607B">
        <w:rPr>
          <w:rFonts w:cstheme="majorBidi"/>
        </w:rPr>
        <w:t xml:space="preserve"> including anthropometric measures </w:t>
      </w:r>
      <w:r w:rsidR="00A7607B" w:rsidRPr="00556FC3">
        <w:rPr>
          <w:rFonts w:cstheme="majorBidi"/>
        </w:rPr>
        <w:t>and</w:t>
      </w:r>
      <w:r w:rsidR="00BF601F" w:rsidRPr="00556FC3">
        <w:rPr>
          <w:rFonts w:cstheme="majorBidi"/>
        </w:rPr>
        <w:t xml:space="preserve"> </w:t>
      </w:r>
      <w:r w:rsidR="00200800">
        <w:rPr>
          <w:rFonts w:cstheme="majorBidi"/>
        </w:rPr>
        <w:t xml:space="preserve">hospital </w:t>
      </w:r>
      <w:r w:rsidR="00BF601F" w:rsidRPr="00556FC3">
        <w:rPr>
          <w:rFonts w:cstheme="majorBidi"/>
        </w:rPr>
        <w:t>length of stay:</w:t>
      </w:r>
    </w:p>
    <w:p w:rsidR="00243E18" w:rsidRPr="00556FC3" w:rsidRDefault="00A01304" w:rsidP="000A7315">
      <w:pPr>
        <w:pStyle w:val="a9"/>
        <w:numPr>
          <w:ilvl w:val="0"/>
          <w:numId w:val="4"/>
        </w:numPr>
        <w:autoSpaceDE w:val="0"/>
        <w:autoSpaceDN w:val="0"/>
        <w:bidi w:val="0"/>
        <w:adjustRightInd w:val="0"/>
        <w:spacing w:after="0" w:line="240" w:lineRule="auto"/>
        <w:rPr>
          <w:rFonts w:cs="Times-Italic"/>
        </w:rPr>
      </w:pPr>
      <w:r w:rsidRPr="00556FC3">
        <w:rPr>
          <w:rFonts w:cs="Times-Italic"/>
        </w:rPr>
        <w:t>The cause of admission</w:t>
      </w:r>
      <w:r w:rsidR="00962A0F" w:rsidRPr="00556FC3">
        <w:rPr>
          <w:rFonts w:cs="Times-Italic"/>
        </w:rPr>
        <w:t xml:space="preserve"> includes</w:t>
      </w:r>
      <w:r w:rsidR="000A7315" w:rsidRPr="00556FC3">
        <w:rPr>
          <w:rFonts w:cs="Times-Italic"/>
        </w:rPr>
        <w:t>:</w:t>
      </w:r>
      <w:r w:rsidR="00962A0F" w:rsidRPr="00556FC3">
        <w:rPr>
          <w:rFonts w:cs="Times-Italic"/>
        </w:rPr>
        <w:t xml:space="preserve"> </w:t>
      </w:r>
    </w:p>
    <w:p w:rsidR="00E86D78" w:rsidRPr="00556FC3" w:rsidRDefault="00243E18" w:rsidP="00A7607B">
      <w:pPr>
        <w:pStyle w:val="a9"/>
        <w:autoSpaceDE w:val="0"/>
        <w:autoSpaceDN w:val="0"/>
        <w:bidi w:val="0"/>
        <w:adjustRightInd w:val="0"/>
        <w:spacing w:after="0" w:line="240" w:lineRule="auto"/>
        <w:rPr>
          <w:rFonts w:cs="Times-Italic"/>
        </w:rPr>
      </w:pPr>
      <w:r w:rsidRPr="00556FC3">
        <w:rPr>
          <w:rFonts w:cs="Times-Italic"/>
        </w:rPr>
        <w:t>A</w:t>
      </w:r>
      <w:r w:rsidR="000A7315" w:rsidRPr="00556FC3">
        <w:rPr>
          <w:rFonts w:cs="Times-Italic"/>
        </w:rPr>
        <w:t xml:space="preserve">. </w:t>
      </w:r>
      <w:r w:rsidR="00E86D78" w:rsidRPr="00556FC3">
        <w:rPr>
          <w:rFonts w:cs="Times-Italic"/>
        </w:rPr>
        <w:t>Respiratory diseases:</w:t>
      </w:r>
      <w:r w:rsidR="00A7607B">
        <w:rPr>
          <w:rFonts w:cs="Times-Italic"/>
        </w:rPr>
        <w:t xml:space="preserve"> </w:t>
      </w:r>
      <w:r w:rsidR="00E86D78" w:rsidRPr="00556FC3">
        <w:rPr>
          <w:rFonts w:cs="Times-Italic"/>
        </w:rPr>
        <w:t xml:space="preserve"> mainly respiratory tract infections and respiratory failure.</w:t>
      </w:r>
    </w:p>
    <w:p w:rsidR="00E86D78" w:rsidRPr="00556FC3" w:rsidRDefault="000A7315" w:rsidP="00A7607B">
      <w:pPr>
        <w:pStyle w:val="a9"/>
        <w:autoSpaceDE w:val="0"/>
        <w:autoSpaceDN w:val="0"/>
        <w:bidi w:val="0"/>
        <w:adjustRightInd w:val="0"/>
        <w:spacing w:after="0" w:line="240" w:lineRule="auto"/>
        <w:rPr>
          <w:rFonts w:cs="Times-Italic"/>
        </w:rPr>
      </w:pPr>
      <w:r w:rsidRPr="00556FC3">
        <w:rPr>
          <w:rFonts w:cs="Times-Italic"/>
        </w:rPr>
        <w:t xml:space="preserve">B. </w:t>
      </w:r>
      <w:r w:rsidR="00E86D78" w:rsidRPr="00556FC3">
        <w:rPr>
          <w:rFonts w:cs="Times-Italic"/>
        </w:rPr>
        <w:t>Gastroenterology cases</w:t>
      </w:r>
      <w:r w:rsidR="00A7607B">
        <w:rPr>
          <w:rFonts w:cs="Times-Italic"/>
        </w:rPr>
        <w:t xml:space="preserve">: </w:t>
      </w:r>
      <w:r w:rsidR="00E86D78" w:rsidRPr="00556FC3">
        <w:rPr>
          <w:rFonts w:cs="Times-Italic"/>
        </w:rPr>
        <w:t xml:space="preserve"> mainly GI bleeding and liver diseases.</w:t>
      </w:r>
    </w:p>
    <w:p w:rsidR="000A7315" w:rsidRPr="00556FC3" w:rsidRDefault="000A7315" w:rsidP="00E86D78">
      <w:pPr>
        <w:pStyle w:val="a9"/>
        <w:autoSpaceDE w:val="0"/>
        <w:autoSpaceDN w:val="0"/>
        <w:bidi w:val="0"/>
        <w:adjustRightInd w:val="0"/>
        <w:spacing w:after="0" w:line="240" w:lineRule="auto"/>
        <w:rPr>
          <w:rFonts w:cs="Times-Italic"/>
        </w:rPr>
      </w:pPr>
      <w:r w:rsidRPr="00556FC3">
        <w:rPr>
          <w:rFonts w:cs="Times-Italic"/>
        </w:rPr>
        <w:t>C. Neurology cases: mainly cerebrovascular stroke patients.</w:t>
      </w:r>
    </w:p>
    <w:p w:rsidR="00243E18" w:rsidRPr="00556FC3" w:rsidRDefault="00243E18" w:rsidP="00A7607B">
      <w:pPr>
        <w:pStyle w:val="a9"/>
        <w:autoSpaceDE w:val="0"/>
        <w:autoSpaceDN w:val="0"/>
        <w:bidi w:val="0"/>
        <w:adjustRightInd w:val="0"/>
        <w:spacing w:after="0" w:line="240" w:lineRule="auto"/>
        <w:rPr>
          <w:rFonts w:cs="Times-Italic"/>
        </w:rPr>
      </w:pPr>
      <w:r w:rsidRPr="00556FC3">
        <w:rPr>
          <w:rFonts w:cs="Times-Italic"/>
        </w:rPr>
        <w:t>D</w:t>
      </w:r>
      <w:r w:rsidR="000A7315" w:rsidRPr="00556FC3">
        <w:rPr>
          <w:rFonts w:cs="Times-Italic"/>
        </w:rPr>
        <w:t xml:space="preserve">. </w:t>
      </w:r>
      <w:r w:rsidR="00E86D78" w:rsidRPr="00556FC3">
        <w:rPr>
          <w:rFonts w:cs="Times-Italic"/>
        </w:rPr>
        <w:t>D</w:t>
      </w:r>
      <w:r w:rsidR="000A7315" w:rsidRPr="00556FC3">
        <w:rPr>
          <w:rFonts w:cs="Times-Italic"/>
        </w:rPr>
        <w:t>iabetic patients</w:t>
      </w:r>
      <w:r w:rsidR="00A7607B">
        <w:rPr>
          <w:rFonts w:cs="Times-Italic"/>
        </w:rPr>
        <w:t xml:space="preserve">: </w:t>
      </w:r>
      <w:r w:rsidR="000A7315" w:rsidRPr="00556FC3">
        <w:rPr>
          <w:rFonts w:cs="Times-Italic"/>
        </w:rPr>
        <w:t xml:space="preserve"> mainly the complications of hyper or hypoglycemi</w:t>
      </w:r>
      <w:r w:rsidR="00A7607B">
        <w:rPr>
          <w:rFonts w:cs="Times-Italic"/>
        </w:rPr>
        <w:t>c states</w:t>
      </w:r>
      <w:r w:rsidR="000A7315" w:rsidRPr="00556FC3">
        <w:rPr>
          <w:rFonts w:cs="Times-Italic"/>
        </w:rPr>
        <w:t xml:space="preserve">. </w:t>
      </w:r>
    </w:p>
    <w:p w:rsidR="000A7315" w:rsidRPr="00556FC3" w:rsidRDefault="000A7315" w:rsidP="00A7607B">
      <w:pPr>
        <w:pStyle w:val="a9"/>
        <w:autoSpaceDE w:val="0"/>
        <w:autoSpaceDN w:val="0"/>
        <w:bidi w:val="0"/>
        <w:adjustRightInd w:val="0"/>
        <w:spacing w:after="0" w:line="240" w:lineRule="auto"/>
        <w:rPr>
          <w:rFonts w:cs="Times-Italic"/>
        </w:rPr>
      </w:pPr>
      <w:r w:rsidRPr="00556FC3">
        <w:rPr>
          <w:rFonts w:cs="Times-Italic"/>
        </w:rPr>
        <w:t xml:space="preserve">E. </w:t>
      </w:r>
      <w:r w:rsidR="00243E18" w:rsidRPr="00556FC3">
        <w:rPr>
          <w:rFonts w:cs="Times-Italic"/>
        </w:rPr>
        <w:t>O</w:t>
      </w:r>
      <w:r w:rsidRPr="00556FC3">
        <w:rPr>
          <w:rFonts w:cs="Times-Italic"/>
        </w:rPr>
        <w:t>thers: other</w:t>
      </w:r>
      <w:r w:rsidR="00A7607B">
        <w:rPr>
          <w:rFonts w:cs="Times-Italic"/>
        </w:rPr>
        <w:t xml:space="preserve"> diagnosis</w:t>
      </w:r>
      <w:r w:rsidRPr="00556FC3">
        <w:rPr>
          <w:rFonts w:cs="Times-Italic"/>
        </w:rPr>
        <w:t xml:space="preserve"> as </w:t>
      </w:r>
      <w:r w:rsidR="00E86D78" w:rsidRPr="00556FC3">
        <w:rPr>
          <w:rFonts w:cs="Times-Italic"/>
        </w:rPr>
        <w:t xml:space="preserve">chronic renal failure </w:t>
      </w:r>
      <w:r w:rsidRPr="00556FC3">
        <w:rPr>
          <w:rFonts w:cs="Times-Italic"/>
        </w:rPr>
        <w:t>cases.</w:t>
      </w:r>
    </w:p>
    <w:p w:rsidR="00E86D78" w:rsidRPr="00556FC3" w:rsidRDefault="00E86D78" w:rsidP="00E86D78">
      <w:pPr>
        <w:pStyle w:val="a9"/>
        <w:autoSpaceDE w:val="0"/>
        <w:autoSpaceDN w:val="0"/>
        <w:bidi w:val="0"/>
        <w:adjustRightInd w:val="0"/>
        <w:spacing w:after="0" w:line="240" w:lineRule="auto"/>
        <w:rPr>
          <w:rFonts w:cs="Times-Italic"/>
        </w:rPr>
      </w:pPr>
      <w:r w:rsidRPr="00556FC3">
        <w:rPr>
          <w:rFonts w:cs="Times-Italic"/>
        </w:rPr>
        <w:t xml:space="preserve">Cardiac patients were admitted in </w:t>
      </w:r>
      <w:r w:rsidR="00556FC3">
        <w:rPr>
          <w:rFonts w:cs="Times-Italic"/>
        </w:rPr>
        <w:t xml:space="preserve">the </w:t>
      </w:r>
      <w:r w:rsidRPr="00556FC3">
        <w:rPr>
          <w:rFonts w:cs="Times-Italic"/>
        </w:rPr>
        <w:t>cardiology department.</w:t>
      </w:r>
    </w:p>
    <w:p w:rsidR="00A01304" w:rsidRPr="00556FC3" w:rsidRDefault="00243E18" w:rsidP="007F5FBD">
      <w:pPr>
        <w:pStyle w:val="a9"/>
        <w:numPr>
          <w:ilvl w:val="0"/>
          <w:numId w:val="4"/>
        </w:numPr>
        <w:autoSpaceDE w:val="0"/>
        <w:autoSpaceDN w:val="0"/>
        <w:bidi w:val="0"/>
        <w:adjustRightInd w:val="0"/>
        <w:spacing w:after="0" w:line="240" w:lineRule="auto"/>
        <w:rPr>
          <w:rFonts w:cs="Times-Italic"/>
        </w:rPr>
      </w:pPr>
      <w:r w:rsidRPr="00556FC3">
        <w:rPr>
          <w:rFonts w:cs="Times-Italic"/>
        </w:rPr>
        <w:t xml:space="preserve">Nationality: patients were classified according to their nationality </w:t>
      </w:r>
      <w:r w:rsidR="00AE694A" w:rsidRPr="00556FC3">
        <w:rPr>
          <w:rFonts w:cs="Times-Italic"/>
        </w:rPr>
        <w:t>into 6 groups; Arabic countries, African (non-Arabic), South Asian, South East Asian, Central Asian and others.</w:t>
      </w:r>
      <w:r w:rsidR="00BF601F" w:rsidRPr="00556FC3">
        <w:rPr>
          <w:rFonts w:cs="Times-Italic"/>
        </w:rPr>
        <w:t xml:space="preserve"> (table 1) </w:t>
      </w:r>
    </w:p>
    <w:p w:rsidR="00BF601F" w:rsidRPr="00556FC3" w:rsidRDefault="00BF601F" w:rsidP="007F5FBD">
      <w:pPr>
        <w:pStyle w:val="a9"/>
        <w:numPr>
          <w:ilvl w:val="0"/>
          <w:numId w:val="4"/>
        </w:numPr>
        <w:autoSpaceDE w:val="0"/>
        <w:autoSpaceDN w:val="0"/>
        <w:bidi w:val="0"/>
        <w:adjustRightInd w:val="0"/>
        <w:spacing w:after="0" w:line="240" w:lineRule="auto"/>
        <w:rPr>
          <w:rFonts w:cs="Times-Italic"/>
        </w:rPr>
      </w:pPr>
      <w:r w:rsidRPr="00556FC3">
        <w:rPr>
          <w:rFonts w:cs="Times-Italic"/>
        </w:rPr>
        <w:t>Length of stay</w:t>
      </w:r>
      <w:r w:rsidR="00A51577" w:rsidRPr="00556FC3">
        <w:rPr>
          <w:rFonts w:cs="Times-Italic"/>
        </w:rPr>
        <w:t xml:space="preserve">: the number of </w:t>
      </w:r>
      <w:r w:rsidR="007F5FBD">
        <w:rPr>
          <w:rFonts w:cs="Times-Italic"/>
        </w:rPr>
        <w:t>nights</w:t>
      </w:r>
      <w:r w:rsidR="00A51577" w:rsidRPr="00556FC3">
        <w:rPr>
          <w:rFonts w:cs="Times-Italic"/>
        </w:rPr>
        <w:t xml:space="preserve"> of</w:t>
      </w:r>
      <w:r w:rsidR="007F5FBD">
        <w:rPr>
          <w:rFonts w:cs="Times-Italic"/>
        </w:rPr>
        <w:t xml:space="preserve"> hospital</w:t>
      </w:r>
      <w:r w:rsidR="00A51577" w:rsidRPr="00556FC3">
        <w:rPr>
          <w:rFonts w:cs="Times-Italic"/>
        </w:rPr>
        <w:t xml:space="preserve"> admission</w:t>
      </w:r>
      <w:r w:rsidRPr="00556FC3">
        <w:rPr>
          <w:rFonts w:cstheme="majorBidi"/>
        </w:rPr>
        <w:t>, it is considered prolonged if more than 5 days.</w:t>
      </w:r>
    </w:p>
    <w:p w:rsidR="00A01304" w:rsidRPr="00556FC3" w:rsidRDefault="00A01304" w:rsidP="00730976">
      <w:pPr>
        <w:autoSpaceDE w:val="0"/>
        <w:autoSpaceDN w:val="0"/>
        <w:bidi w:val="0"/>
        <w:adjustRightInd w:val="0"/>
        <w:spacing w:after="0" w:line="240" w:lineRule="auto"/>
        <w:rPr>
          <w:rFonts w:cs="Times-Italic"/>
          <w:i/>
          <w:iCs/>
        </w:rPr>
      </w:pPr>
    </w:p>
    <w:p w:rsidR="00654B52" w:rsidRPr="00556FC3" w:rsidRDefault="00654B52" w:rsidP="007F5FBD">
      <w:pPr>
        <w:pStyle w:val="a9"/>
        <w:autoSpaceDE w:val="0"/>
        <w:autoSpaceDN w:val="0"/>
        <w:bidi w:val="0"/>
        <w:adjustRightInd w:val="0"/>
        <w:spacing w:after="0" w:line="240" w:lineRule="auto"/>
        <w:rPr>
          <w:rFonts w:cs="Times-Roman"/>
        </w:rPr>
      </w:pPr>
    </w:p>
    <w:p w:rsidR="00BB0064" w:rsidRDefault="00654B52" w:rsidP="00A7607B">
      <w:pPr>
        <w:autoSpaceDE w:val="0"/>
        <w:autoSpaceDN w:val="0"/>
        <w:bidi w:val="0"/>
        <w:adjustRightInd w:val="0"/>
        <w:spacing w:after="0" w:line="240" w:lineRule="auto"/>
        <w:rPr>
          <w:rFonts w:cs="Times-Roman"/>
        </w:rPr>
      </w:pPr>
      <w:r w:rsidRPr="00556FC3">
        <w:rPr>
          <w:rFonts w:cs="Times-Roman"/>
        </w:rPr>
        <w:t xml:space="preserve">          </w:t>
      </w:r>
      <w:r w:rsidR="00730976" w:rsidRPr="00556FC3">
        <w:rPr>
          <w:rFonts w:cs="Times-Roman"/>
        </w:rPr>
        <w:t>The anthropometric indicators</w:t>
      </w:r>
      <w:r w:rsidR="00A7607B">
        <w:rPr>
          <w:rFonts w:cs="Times-Roman"/>
        </w:rPr>
        <w:t xml:space="preserve"> </w:t>
      </w:r>
      <w:r w:rsidR="00730976" w:rsidRPr="00556FC3">
        <w:rPr>
          <w:rFonts w:cs="Times-Roman"/>
        </w:rPr>
        <w:t xml:space="preserve">were: </w:t>
      </w:r>
    </w:p>
    <w:p w:rsidR="00BB0064" w:rsidRDefault="00BB0064" w:rsidP="00A7607B">
      <w:pPr>
        <w:pStyle w:val="a9"/>
        <w:numPr>
          <w:ilvl w:val="0"/>
          <w:numId w:val="5"/>
        </w:numPr>
        <w:autoSpaceDE w:val="0"/>
        <w:autoSpaceDN w:val="0"/>
        <w:bidi w:val="0"/>
        <w:adjustRightInd w:val="0"/>
        <w:spacing w:after="0" w:line="240" w:lineRule="auto"/>
        <w:rPr>
          <w:rFonts w:cs="Times-Roman"/>
        </w:rPr>
      </w:pPr>
      <w:r w:rsidRPr="001357C3">
        <w:rPr>
          <w:rFonts w:cs="Times-Roman"/>
        </w:rPr>
        <w:t>W</w:t>
      </w:r>
      <w:r w:rsidR="00730976" w:rsidRPr="001357C3">
        <w:rPr>
          <w:rFonts w:cs="Times-Roman"/>
        </w:rPr>
        <w:t>eight (W)</w:t>
      </w:r>
      <w:r w:rsidR="001357C3" w:rsidRPr="001357C3">
        <w:rPr>
          <w:rFonts w:cs="Times-Roman"/>
        </w:rPr>
        <w:t xml:space="preserve"> using with a</w:t>
      </w:r>
      <w:r w:rsidR="00A7607B">
        <w:rPr>
          <w:rFonts w:cs="Times-Roman"/>
        </w:rPr>
        <w:t>n</w:t>
      </w:r>
      <w:r w:rsidR="001357C3" w:rsidRPr="001357C3">
        <w:rPr>
          <w:rFonts w:cs="Times-Roman"/>
        </w:rPr>
        <w:t xml:space="preserve"> </w:t>
      </w:r>
      <w:r w:rsidR="00A7607B">
        <w:rPr>
          <w:rFonts w:cs="Times-Roman"/>
        </w:rPr>
        <w:t>electronic scale</w:t>
      </w:r>
      <w:r w:rsidR="001357C3" w:rsidRPr="001357C3">
        <w:rPr>
          <w:rFonts w:cs="Times-Roman"/>
        </w:rPr>
        <w:t xml:space="preserve"> with a maximum capacity of 150 kg and accuracy of 0.1 kg</w:t>
      </w:r>
      <w:r w:rsidR="001357C3">
        <w:rPr>
          <w:rFonts w:cs="Times-Roman"/>
        </w:rPr>
        <w:t xml:space="preserve"> and 200 cm for h</w:t>
      </w:r>
      <w:r w:rsidR="00B51209">
        <w:rPr>
          <w:rFonts w:cs="Times-Roman"/>
        </w:rPr>
        <w:t>e</w:t>
      </w:r>
      <w:r w:rsidR="001357C3">
        <w:rPr>
          <w:rFonts w:cs="Times-Roman"/>
        </w:rPr>
        <w:t>ight.</w:t>
      </w:r>
    </w:p>
    <w:p w:rsidR="00A7607B" w:rsidRPr="001357C3" w:rsidRDefault="00A7607B" w:rsidP="00A7607B">
      <w:pPr>
        <w:pStyle w:val="a9"/>
        <w:numPr>
          <w:ilvl w:val="0"/>
          <w:numId w:val="5"/>
        </w:numPr>
        <w:autoSpaceDE w:val="0"/>
        <w:autoSpaceDN w:val="0"/>
        <w:bidi w:val="0"/>
        <w:adjustRightInd w:val="0"/>
        <w:spacing w:after="0" w:line="240" w:lineRule="auto"/>
        <w:rPr>
          <w:rFonts w:cs="Times-Roman"/>
        </w:rPr>
      </w:pPr>
      <w:r w:rsidRPr="00A7607B">
        <w:rPr>
          <w:rFonts w:cs="Times-Roman"/>
        </w:rPr>
        <w:t>Height (H)</w:t>
      </w:r>
      <w:r>
        <w:rPr>
          <w:rFonts w:cs="Times-Roman"/>
        </w:rPr>
        <w:t xml:space="preserve">: within the </w:t>
      </w:r>
      <w:r w:rsidRPr="00A7607B">
        <w:rPr>
          <w:rFonts w:cs="Times-Roman"/>
        </w:rPr>
        <w:t>electronic scale</w:t>
      </w:r>
      <w:r>
        <w:rPr>
          <w:rFonts w:cs="Times-Roman"/>
        </w:rPr>
        <w:t xml:space="preserve"> max 200 cm approximated to the nearest cm.</w:t>
      </w:r>
    </w:p>
    <w:p w:rsidR="001357C3" w:rsidRDefault="001357C3" w:rsidP="00FF6903">
      <w:pPr>
        <w:pStyle w:val="a9"/>
        <w:numPr>
          <w:ilvl w:val="0"/>
          <w:numId w:val="5"/>
        </w:numPr>
        <w:autoSpaceDE w:val="0"/>
        <w:autoSpaceDN w:val="0"/>
        <w:bidi w:val="0"/>
        <w:adjustRightInd w:val="0"/>
        <w:spacing w:after="0" w:line="240" w:lineRule="auto"/>
        <w:rPr>
          <w:rFonts w:cs="Times-Roman"/>
        </w:rPr>
      </w:pPr>
      <w:r>
        <w:rPr>
          <w:rFonts w:cs="Times-Roman"/>
        </w:rPr>
        <w:t>M</w:t>
      </w:r>
      <w:r w:rsidR="00E25039" w:rsidRPr="001357C3">
        <w:rPr>
          <w:rFonts w:cs="Times-Roman"/>
        </w:rPr>
        <w:t>i</w:t>
      </w:r>
      <w:r w:rsidR="00730976" w:rsidRPr="001357C3">
        <w:rPr>
          <w:rFonts w:cs="Times-Roman"/>
        </w:rPr>
        <w:t>d arm</w:t>
      </w:r>
      <w:r w:rsidRPr="001357C3">
        <w:rPr>
          <w:rFonts w:cs="Times-Roman"/>
        </w:rPr>
        <w:t xml:space="preserve"> </w:t>
      </w:r>
      <w:r w:rsidR="00730976" w:rsidRPr="001357C3">
        <w:rPr>
          <w:rFonts w:cs="Times-Roman"/>
        </w:rPr>
        <w:t>circumference (MAC)</w:t>
      </w:r>
      <w:r w:rsidR="00FF6903">
        <w:rPr>
          <w:rFonts w:cs="Times-Roman"/>
        </w:rPr>
        <w:t>.</w:t>
      </w:r>
      <w:r w:rsidR="00730976" w:rsidRPr="001357C3">
        <w:rPr>
          <w:rFonts w:cs="Times-Roman"/>
        </w:rPr>
        <w:t xml:space="preserve"> </w:t>
      </w:r>
    </w:p>
    <w:p w:rsidR="001357C3" w:rsidRDefault="001357C3" w:rsidP="00FF6903">
      <w:pPr>
        <w:pStyle w:val="a9"/>
        <w:numPr>
          <w:ilvl w:val="0"/>
          <w:numId w:val="5"/>
        </w:numPr>
        <w:autoSpaceDE w:val="0"/>
        <w:autoSpaceDN w:val="0"/>
        <w:bidi w:val="0"/>
        <w:adjustRightInd w:val="0"/>
        <w:spacing w:after="0" w:line="240" w:lineRule="auto"/>
        <w:rPr>
          <w:rFonts w:cs="Times-Roman"/>
        </w:rPr>
      </w:pPr>
      <w:r w:rsidRPr="001357C3">
        <w:rPr>
          <w:rFonts w:cs="Times-Roman"/>
        </w:rPr>
        <w:t>T</w:t>
      </w:r>
      <w:r w:rsidR="00730976" w:rsidRPr="001357C3">
        <w:rPr>
          <w:rFonts w:cs="Times-Roman"/>
        </w:rPr>
        <w:t>riceps skin</w:t>
      </w:r>
      <w:r w:rsidR="0047181D" w:rsidRPr="001357C3">
        <w:rPr>
          <w:rFonts w:cs="Times-Roman"/>
        </w:rPr>
        <w:t xml:space="preserve"> </w:t>
      </w:r>
      <w:r w:rsidR="00730976" w:rsidRPr="001357C3">
        <w:rPr>
          <w:rFonts w:cs="Times-Roman"/>
        </w:rPr>
        <w:t>fold thickness (TSF)</w:t>
      </w:r>
      <w:r w:rsidR="00FF6903">
        <w:rPr>
          <w:rFonts w:cs="Times-Roman"/>
        </w:rPr>
        <w:t>.</w:t>
      </w:r>
      <w:r>
        <w:rPr>
          <w:rFonts w:cs="Times-Roman"/>
        </w:rPr>
        <w:t xml:space="preserve"> </w:t>
      </w:r>
    </w:p>
    <w:p w:rsidR="001357C3" w:rsidRDefault="00730976" w:rsidP="001357C3">
      <w:pPr>
        <w:pStyle w:val="a9"/>
        <w:numPr>
          <w:ilvl w:val="0"/>
          <w:numId w:val="5"/>
        </w:numPr>
        <w:autoSpaceDE w:val="0"/>
        <w:autoSpaceDN w:val="0"/>
        <w:bidi w:val="0"/>
        <w:adjustRightInd w:val="0"/>
        <w:spacing w:after="0" w:line="240" w:lineRule="auto"/>
        <w:rPr>
          <w:rFonts w:cs="Times-Roman"/>
        </w:rPr>
      </w:pPr>
      <w:r w:rsidRPr="001357C3">
        <w:rPr>
          <w:rFonts w:cs="Times-Roman"/>
        </w:rPr>
        <w:t>Body Mass Index (BMI)</w:t>
      </w:r>
      <w:r w:rsidR="00BB0064" w:rsidRPr="001357C3">
        <w:rPr>
          <w:rFonts w:cs="Times-Roman"/>
        </w:rPr>
        <w:t>:</w:t>
      </w:r>
      <w:r w:rsidRPr="001357C3">
        <w:rPr>
          <w:rFonts w:cs="Times-Roman"/>
        </w:rPr>
        <w:t xml:space="preserve"> weight </w:t>
      </w:r>
      <w:r w:rsidR="007F5FBD" w:rsidRPr="001357C3">
        <w:rPr>
          <w:rFonts w:cs="Times-Roman"/>
        </w:rPr>
        <w:t>in Kg</w:t>
      </w:r>
      <w:r w:rsidR="00BB0064" w:rsidRPr="001357C3">
        <w:rPr>
          <w:rFonts w:cs="Times-Roman"/>
        </w:rPr>
        <w:t>/ (</w:t>
      </w:r>
      <w:r w:rsidRPr="001357C3">
        <w:rPr>
          <w:rFonts w:cs="Times-Roman"/>
        </w:rPr>
        <w:t>height</w:t>
      </w:r>
      <w:r w:rsidR="00BB0064" w:rsidRPr="001357C3">
        <w:rPr>
          <w:rFonts w:cs="Times-Roman"/>
        </w:rPr>
        <w:t xml:space="preserve"> in meters)</w:t>
      </w:r>
      <w:r w:rsidR="00BB0064" w:rsidRPr="001357C3">
        <w:rPr>
          <w:rFonts w:cs="Times-Roman"/>
          <w:vertAlign w:val="superscript"/>
        </w:rPr>
        <w:t>2</w:t>
      </w:r>
      <w:r w:rsidRPr="001357C3">
        <w:rPr>
          <w:rFonts w:cs="Times-Roman"/>
        </w:rPr>
        <w:t xml:space="preserve"> (kg/m</w:t>
      </w:r>
      <w:r w:rsidR="00BB0064" w:rsidRPr="001357C3">
        <w:rPr>
          <w:rFonts w:cs="Times-Roman"/>
          <w:vertAlign w:val="superscript"/>
        </w:rPr>
        <w:t>2</w:t>
      </w:r>
      <w:r w:rsidR="001357C3" w:rsidRPr="001357C3">
        <w:rPr>
          <w:rFonts w:cs="Times-Roman"/>
        </w:rPr>
        <w:t>).</w:t>
      </w:r>
      <w:r w:rsidR="001357C3">
        <w:rPr>
          <w:rFonts w:cs="Times-Roman"/>
        </w:rPr>
        <w:t xml:space="preserve"> </w:t>
      </w:r>
    </w:p>
    <w:p w:rsidR="001357C3" w:rsidRDefault="00730976" w:rsidP="001357C3">
      <w:pPr>
        <w:pStyle w:val="a9"/>
        <w:numPr>
          <w:ilvl w:val="0"/>
          <w:numId w:val="5"/>
        </w:numPr>
        <w:autoSpaceDE w:val="0"/>
        <w:autoSpaceDN w:val="0"/>
        <w:bidi w:val="0"/>
        <w:adjustRightInd w:val="0"/>
        <w:spacing w:after="0" w:line="240" w:lineRule="auto"/>
        <w:rPr>
          <w:rFonts w:cs="Times-Roman"/>
        </w:rPr>
      </w:pPr>
      <w:r w:rsidRPr="001357C3">
        <w:rPr>
          <w:rFonts w:cs="Times-Roman"/>
        </w:rPr>
        <w:t xml:space="preserve">Mid Arm Muscle Circumference </w:t>
      </w:r>
      <w:r w:rsidR="008D229B" w:rsidRPr="001357C3">
        <w:rPr>
          <w:rFonts w:cs="Times-Roman"/>
        </w:rPr>
        <w:t>(</w:t>
      </w:r>
      <w:r w:rsidRPr="001357C3">
        <w:rPr>
          <w:rFonts w:cs="Times-Roman"/>
        </w:rPr>
        <w:t>MAMC)</w:t>
      </w:r>
      <w:r w:rsidR="00BB0064" w:rsidRPr="001357C3">
        <w:rPr>
          <w:rFonts w:cs="Times-Roman"/>
        </w:rPr>
        <w:t>:</w:t>
      </w:r>
      <w:r w:rsidR="005B358E" w:rsidRPr="001357C3">
        <w:rPr>
          <w:rFonts w:cs="Times-Roman"/>
        </w:rPr>
        <w:t xml:space="preserve"> </w:t>
      </w:r>
      <w:r w:rsidRPr="001357C3">
        <w:rPr>
          <w:rFonts w:cs="Times-Roman"/>
        </w:rPr>
        <w:t>MAMC = MAC − (0.314 × TSF).</w:t>
      </w:r>
    </w:p>
    <w:p w:rsidR="007F5FBD" w:rsidRPr="001357C3" w:rsidRDefault="00612A5E" w:rsidP="001357C3">
      <w:pPr>
        <w:pStyle w:val="a9"/>
        <w:autoSpaceDE w:val="0"/>
        <w:autoSpaceDN w:val="0"/>
        <w:bidi w:val="0"/>
        <w:adjustRightInd w:val="0"/>
        <w:spacing w:after="0" w:line="240" w:lineRule="auto"/>
        <w:ind w:left="900"/>
        <w:rPr>
          <w:rFonts w:cs="Times-Roman"/>
        </w:rPr>
      </w:pPr>
      <w:r w:rsidRPr="001357C3">
        <w:rPr>
          <w:rFonts w:cs="Times-Roman"/>
        </w:rPr>
        <w:t xml:space="preserve"> </w:t>
      </w:r>
    </w:p>
    <w:p w:rsidR="00243C98" w:rsidRPr="00E450FA" w:rsidRDefault="005B358E" w:rsidP="009E350A">
      <w:pPr>
        <w:autoSpaceDE w:val="0"/>
        <w:autoSpaceDN w:val="0"/>
        <w:bidi w:val="0"/>
        <w:adjustRightInd w:val="0"/>
        <w:spacing w:after="0" w:line="240" w:lineRule="auto"/>
      </w:pPr>
      <w:r w:rsidRPr="00E450FA">
        <w:rPr>
          <w:rFonts w:cs="Times-Roman"/>
        </w:rPr>
        <w:t xml:space="preserve">        </w:t>
      </w:r>
      <w:r w:rsidR="00BB0064" w:rsidRPr="00E450FA">
        <w:rPr>
          <w:rFonts w:cs="Times-Roman"/>
        </w:rPr>
        <w:t xml:space="preserve"> </w:t>
      </w:r>
      <w:r w:rsidR="00243C98" w:rsidRPr="00E450FA">
        <w:rPr>
          <w:rFonts w:cs="Times-Roman"/>
        </w:rPr>
        <w:t>A</w:t>
      </w:r>
      <w:r w:rsidR="00730976" w:rsidRPr="00E450FA">
        <w:rPr>
          <w:rFonts w:cs="Times-Roman"/>
        </w:rPr>
        <w:t>ccording to the World Health</w:t>
      </w:r>
      <w:r w:rsidRPr="00E450FA">
        <w:rPr>
          <w:rFonts w:cs="Times-Roman"/>
        </w:rPr>
        <w:t xml:space="preserve"> </w:t>
      </w:r>
      <w:r w:rsidR="00730976" w:rsidRPr="00E450FA">
        <w:rPr>
          <w:rFonts w:cs="Times-Roman"/>
        </w:rPr>
        <w:t>Organization criteria</w:t>
      </w:r>
      <w:r w:rsidR="00612A5E" w:rsidRPr="00E450FA">
        <w:rPr>
          <w:rFonts w:cs="Times-Roman"/>
        </w:rPr>
        <w:t xml:space="preserve"> </w:t>
      </w:r>
      <w:r w:rsidR="00730976" w:rsidRPr="00E450FA">
        <w:rPr>
          <w:rFonts w:cs="Times-Roman"/>
        </w:rPr>
        <w:t>(WHO)</w:t>
      </w:r>
      <w:r w:rsidR="00F816FF" w:rsidRPr="00E450FA">
        <w:rPr>
          <w:rFonts w:cs="Times-Roman"/>
        </w:rPr>
        <w:t xml:space="preserve"> </w:t>
      </w:r>
      <w:r w:rsidR="004C20E7" w:rsidRPr="00E450FA">
        <w:rPr>
          <w:rFonts w:cs="Times-Roman"/>
        </w:rPr>
        <w:t>(WHO,</w:t>
      </w:r>
      <w:r w:rsidR="00243C98" w:rsidRPr="00E450FA">
        <w:rPr>
          <w:rFonts w:cs="Times-Roman"/>
        </w:rPr>
        <w:t xml:space="preserve"> </w:t>
      </w:r>
      <w:r w:rsidR="00182A33" w:rsidRPr="00E450FA">
        <w:rPr>
          <w:rFonts w:cs="Times-Roman"/>
        </w:rPr>
        <w:t>1998)</w:t>
      </w:r>
      <w:r w:rsidR="00243C98" w:rsidRPr="00E450FA">
        <w:rPr>
          <w:rFonts w:cs="Times-Roman"/>
        </w:rPr>
        <w:t>,</w:t>
      </w:r>
      <w:r w:rsidR="00182A33" w:rsidRPr="00E450FA">
        <w:rPr>
          <w:rFonts w:cs="Times-Roman"/>
        </w:rPr>
        <w:t xml:space="preserve"> </w:t>
      </w:r>
      <w:r w:rsidR="007F6053" w:rsidRPr="00E450FA">
        <w:t xml:space="preserve">the </w:t>
      </w:r>
    </w:p>
    <w:p w:rsidR="00243C98" w:rsidRPr="00E450FA" w:rsidRDefault="00243C98" w:rsidP="00243C98">
      <w:pPr>
        <w:autoSpaceDE w:val="0"/>
        <w:autoSpaceDN w:val="0"/>
        <w:bidi w:val="0"/>
        <w:adjustRightInd w:val="0"/>
        <w:spacing w:after="0" w:line="240" w:lineRule="auto"/>
      </w:pPr>
      <w:r w:rsidRPr="00E450FA">
        <w:t xml:space="preserve">         </w:t>
      </w:r>
      <w:r w:rsidR="00A7607B" w:rsidRPr="00E450FA">
        <w:t>Nutritional S</w:t>
      </w:r>
      <w:r w:rsidR="007F6053" w:rsidRPr="00E450FA">
        <w:t xml:space="preserve">tatus was classified according to the BMI as follows: </w:t>
      </w:r>
    </w:p>
    <w:p w:rsidR="00243C98" w:rsidRPr="00E450FA" w:rsidRDefault="00243C98" w:rsidP="00CB6D91">
      <w:pPr>
        <w:autoSpaceDE w:val="0"/>
        <w:autoSpaceDN w:val="0"/>
        <w:bidi w:val="0"/>
        <w:adjustRightInd w:val="0"/>
        <w:spacing w:after="0" w:line="240" w:lineRule="auto"/>
      </w:pPr>
      <w:r w:rsidRPr="00E450FA">
        <w:t xml:space="preserve">         </w:t>
      </w:r>
      <w:r w:rsidR="00730976" w:rsidRPr="00E450FA">
        <w:t>BMI</w:t>
      </w:r>
      <w:r w:rsidRPr="00E450FA">
        <w:t xml:space="preserve"> </w:t>
      </w:r>
      <w:r w:rsidR="00730976" w:rsidRPr="00E450FA">
        <w:t xml:space="preserve">&lt;18.5 = Under-nutrition; </w:t>
      </w:r>
      <w:r w:rsidR="00182A33" w:rsidRPr="00E450FA">
        <w:t xml:space="preserve">18.5 &lt; </w:t>
      </w:r>
      <w:r w:rsidR="00730976" w:rsidRPr="00E450FA">
        <w:t>BMI</w:t>
      </w:r>
      <w:r w:rsidR="00F816FF" w:rsidRPr="00E450FA">
        <w:t xml:space="preserve"> </w:t>
      </w:r>
      <w:r w:rsidR="00182A33" w:rsidRPr="00E450FA">
        <w:t xml:space="preserve">&lt; </w:t>
      </w:r>
      <w:r w:rsidR="00730976" w:rsidRPr="00E450FA">
        <w:t>24.9 = Normal;</w:t>
      </w:r>
      <w:r w:rsidR="00612A5E" w:rsidRPr="00E450FA">
        <w:t xml:space="preserve"> </w:t>
      </w:r>
      <w:r w:rsidR="00730976" w:rsidRPr="00E450FA">
        <w:t xml:space="preserve">25 </w:t>
      </w:r>
      <w:r w:rsidR="00CB6D91" w:rsidRPr="00E450FA">
        <w:t xml:space="preserve">&lt; </w:t>
      </w:r>
      <w:r w:rsidR="00730976" w:rsidRPr="00E450FA">
        <w:t xml:space="preserve">BMI </w:t>
      </w:r>
      <w:r w:rsidR="00CB6D91" w:rsidRPr="00E450FA">
        <w:t xml:space="preserve">&lt; </w:t>
      </w:r>
      <w:r w:rsidR="00730976" w:rsidRPr="00E450FA">
        <w:t>29.9 =</w:t>
      </w:r>
    </w:p>
    <w:p w:rsidR="00243C98" w:rsidRPr="00E450FA" w:rsidRDefault="00243C98" w:rsidP="00CB6D91">
      <w:pPr>
        <w:autoSpaceDE w:val="0"/>
        <w:autoSpaceDN w:val="0"/>
        <w:bidi w:val="0"/>
        <w:adjustRightInd w:val="0"/>
        <w:spacing w:after="0" w:line="240" w:lineRule="auto"/>
      </w:pPr>
      <w:r w:rsidRPr="00E450FA">
        <w:t xml:space="preserve">        </w:t>
      </w:r>
      <w:r w:rsidR="00730976" w:rsidRPr="00E450FA">
        <w:t xml:space="preserve"> Overweight; BMI </w:t>
      </w:r>
      <w:r w:rsidR="00CB6D91" w:rsidRPr="00E450FA">
        <w:rPr>
          <w:rFonts w:ascii="Arial" w:hAnsi="Arial" w:cs="Arial"/>
        </w:rPr>
        <w:t>&gt;</w:t>
      </w:r>
      <w:r w:rsidR="00CB6D91" w:rsidRPr="00E450FA">
        <w:t xml:space="preserve"> </w:t>
      </w:r>
      <w:r w:rsidR="00730976" w:rsidRPr="00E450FA">
        <w:t xml:space="preserve">30 = Obese. The BMI for elderly patients (60 years or older) was </w:t>
      </w:r>
      <w:r w:rsidRPr="00E450FA">
        <w:t xml:space="preserve"> </w:t>
      </w:r>
    </w:p>
    <w:p w:rsidR="00243C98" w:rsidRPr="00E450FA" w:rsidRDefault="00243C98" w:rsidP="005453D4">
      <w:pPr>
        <w:autoSpaceDE w:val="0"/>
        <w:autoSpaceDN w:val="0"/>
        <w:bidi w:val="0"/>
        <w:adjustRightInd w:val="0"/>
        <w:spacing w:after="0" w:line="240" w:lineRule="auto"/>
      </w:pPr>
      <w:r w:rsidRPr="00E450FA">
        <w:t xml:space="preserve">        </w:t>
      </w:r>
      <w:r w:rsidR="00730976" w:rsidRPr="00E450FA">
        <w:t>classified according to Lipschitz</w:t>
      </w:r>
      <w:r w:rsidR="004C20E7" w:rsidRPr="00E450FA">
        <w:t xml:space="preserve"> (</w:t>
      </w:r>
      <w:r w:rsidR="00182A33" w:rsidRPr="00E450FA">
        <w:t xml:space="preserve"> Lipschitz DA. </w:t>
      </w:r>
      <w:r w:rsidR="00182A33" w:rsidRPr="00E450FA">
        <w:rPr>
          <w:i/>
          <w:iCs/>
        </w:rPr>
        <w:t xml:space="preserve"> </w:t>
      </w:r>
      <w:r w:rsidR="004C20E7" w:rsidRPr="00E450FA">
        <w:t>1994)</w:t>
      </w:r>
      <w:r w:rsidR="00730976" w:rsidRPr="00E450FA">
        <w:t xml:space="preserve"> BMI </w:t>
      </w:r>
      <w:r w:rsidR="00CB6D91" w:rsidRPr="00E450FA">
        <w:t xml:space="preserve">&lt; </w:t>
      </w:r>
      <w:r w:rsidR="00730976" w:rsidRPr="00E450FA">
        <w:t xml:space="preserve">22 = Under-nutrition; </w:t>
      </w:r>
    </w:p>
    <w:p w:rsidR="00730976" w:rsidRPr="00E450FA" w:rsidRDefault="00243C98" w:rsidP="00156ECB">
      <w:pPr>
        <w:autoSpaceDE w:val="0"/>
        <w:autoSpaceDN w:val="0"/>
        <w:bidi w:val="0"/>
        <w:adjustRightInd w:val="0"/>
        <w:spacing w:after="0" w:line="240" w:lineRule="auto"/>
      </w:pPr>
      <w:r w:rsidRPr="00E450FA">
        <w:t xml:space="preserve">        </w:t>
      </w:r>
      <w:r w:rsidR="00730976" w:rsidRPr="00E450FA">
        <w:t>22 &lt; BMI &lt;</w:t>
      </w:r>
      <w:r w:rsidRPr="00E450FA">
        <w:t xml:space="preserve"> </w:t>
      </w:r>
      <w:r w:rsidR="00730976" w:rsidRPr="00E450FA">
        <w:t xml:space="preserve">27 = Normal; </w:t>
      </w:r>
      <w:r w:rsidR="00A7607B" w:rsidRPr="00E450FA">
        <w:t xml:space="preserve">27&lt; </w:t>
      </w:r>
      <w:r w:rsidR="00730976" w:rsidRPr="00E450FA">
        <w:t xml:space="preserve">BMI </w:t>
      </w:r>
      <w:r w:rsidR="00A7607B" w:rsidRPr="00E450FA">
        <w:t>&lt; 29.9</w:t>
      </w:r>
      <w:r w:rsidR="00730976" w:rsidRPr="00E450FA">
        <w:t xml:space="preserve"> = Overweight and</w:t>
      </w:r>
      <w:r w:rsidR="005B358E" w:rsidRPr="00E450FA">
        <w:t xml:space="preserve"> </w:t>
      </w:r>
      <w:r w:rsidR="00730976" w:rsidRPr="00E450FA">
        <w:t xml:space="preserve">BMI </w:t>
      </w:r>
      <w:r w:rsidR="005E0C6B" w:rsidRPr="00E450FA">
        <w:t xml:space="preserve">&gt; </w:t>
      </w:r>
      <w:r w:rsidR="00730976" w:rsidRPr="00E450FA">
        <w:t>30 = Obese.</w:t>
      </w:r>
    </w:p>
    <w:p w:rsidR="0066144A" w:rsidRPr="00E450FA" w:rsidRDefault="00131BE3" w:rsidP="0066144A">
      <w:pPr>
        <w:autoSpaceDE w:val="0"/>
        <w:autoSpaceDN w:val="0"/>
        <w:bidi w:val="0"/>
        <w:adjustRightInd w:val="0"/>
        <w:spacing w:after="0" w:line="240" w:lineRule="auto"/>
        <w:rPr>
          <w:rFonts w:cs="Times-Roman"/>
        </w:rPr>
      </w:pPr>
      <w:r w:rsidRPr="00E450FA">
        <w:rPr>
          <w:rFonts w:cs="Times-Roman"/>
        </w:rPr>
        <w:t xml:space="preserve">         </w:t>
      </w:r>
      <w:r w:rsidR="008506CF" w:rsidRPr="00E450FA">
        <w:rPr>
          <w:rFonts w:cs="Times-Roman"/>
        </w:rPr>
        <w:t xml:space="preserve">The skin fold </w:t>
      </w:r>
      <w:r w:rsidR="0066144A" w:rsidRPr="00E450FA">
        <w:rPr>
          <w:rFonts w:cs="Times-Roman"/>
        </w:rPr>
        <w:t>was measured wi</w:t>
      </w:r>
      <w:r w:rsidR="00182A33" w:rsidRPr="00E450FA">
        <w:rPr>
          <w:rFonts w:cs="Times-Roman"/>
        </w:rPr>
        <w:t>th a measurement</w:t>
      </w:r>
      <w:r w:rsidR="008506CF" w:rsidRPr="00E450FA">
        <w:rPr>
          <w:rFonts w:cs="Times-Roman"/>
        </w:rPr>
        <w:t xml:space="preserve"> </w:t>
      </w:r>
      <w:r w:rsidR="00182A33" w:rsidRPr="00E450FA">
        <w:rPr>
          <w:rFonts w:cs="Times-Roman"/>
        </w:rPr>
        <w:t>range of 0-60 mm and accuracy of ±</w:t>
      </w:r>
      <w:r w:rsidR="0066144A" w:rsidRPr="00E450FA">
        <w:rPr>
          <w:rFonts w:cs="Times-Roman"/>
        </w:rPr>
        <w:t xml:space="preserve">   </w:t>
      </w:r>
    </w:p>
    <w:p w:rsidR="0066144A" w:rsidRPr="00E450FA" w:rsidRDefault="0066144A" w:rsidP="0066144A">
      <w:pPr>
        <w:autoSpaceDE w:val="0"/>
        <w:autoSpaceDN w:val="0"/>
        <w:bidi w:val="0"/>
        <w:adjustRightInd w:val="0"/>
        <w:spacing w:after="0" w:line="240" w:lineRule="auto"/>
        <w:rPr>
          <w:rFonts w:cs="Times-Roman"/>
        </w:rPr>
      </w:pPr>
      <w:r w:rsidRPr="00E450FA">
        <w:rPr>
          <w:rFonts w:cs="Times-Roman"/>
        </w:rPr>
        <w:t xml:space="preserve">         </w:t>
      </w:r>
      <w:r w:rsidR="00182A33" w:rsidRPr="00E450FA">
        <w:rPr>
          <w:rFonts w:cs="Times-Roman"/>
        </w:rPr>
        <w:t>1.0 mm, and a 150-cm inelastic tape measure</w:t>
      </w:r>
      <w:r w:rsidR="008506CF" w:rsidRPr="00E450FA">
        <w:rPr>
          <w:rFonts w:cs="Times-Roman"/>
        </w:rPr>
        <w:t xml:space="preserve"> </w:t>
      </w:r>
      <w:r w:rsidR="00182A33" w:rsidRPr="00E450FA">
        <w:rPr>
          <w:rFonts w:cs="Times-Roman"/>
        </w:rPr>
        <w:t>with accuracy of 0.1</w:t>
      </w:r>
      <w:r w:rsidRPr="00E450FA">
        <w:rPr>
          <w:rFonts w:cs="Times-Roman"/>
        </w:rPr>
        <w:t xml:space="preserve"> </w:t>
      </w:r>
      <w:r w:rsidR="00182A33" w:rsidRPr="00E450FA">
        <w:rPr>
          <w:rFonts w:cs="Times-Roman"/>
        </w:rPr>
        <w:t xml:space="preserve">cm was used for the </w:t>
      </w:r>
    </w:p>
    <w:p w:rsidR="00A7607B" w:rsidRPr="00E450FA" w:rsidRDefault="0066144A" w:rsidP="005453D4">
      <w:pPr>
        <w:autoSpaceDE w:val="0"/>
        <w:autoSpaceDN w:val="0"/>
        <w:bidi w:val="0"/>
        <w:adjustRightInd w:val="0"/>
        <w:spacing w:after="0" w:line="240" w:lineRule="auto"/>
        <w:rPr>
          <w:rFonts w:cs="Times-Roman"/>
        </w:rPr>
      </w:pPr>
      <w:r w:rsidRPr="00E450FA">
        <w:rPr>
          <w:rFonts w:cs="Times-Roman"/>
        </w:rPr>
        <w:t xml:space="preserve">         </w:t>
      </w:r>
      <w:r w:rsidR="00182A33" w:rsidRPr="00E450FA">
        <w:rPr>
          <w:rFonts w:cs="Times-Roman"/>
        </w:rPr>
        <w:t>other</w:t>
      </w:r>
      <w:r w:rsidR="008506CF" w:rsidRPr="00E450FA">
        <w:rPr>
          <w:rFonts w:cs="Times-Roman"/>
        </w:rPr>
        <w:t xml:space="preserve"> </w:t>
      </w:r>
      <w:r w:rsidR="00182A33" w:rsidRPr="00E450FA">
        <w:rPr>
          <w:rFonts w:cs="Times-Roman"/>
        </w:rPr>
        <w:t>measures</w:t>
      </w:r>
      <w:r w:rsidRPr="00E450FA">
        <w:rPr>
          <w:rFonts w:cs="Times-Roman"/>
        </w:rPr>
        <w:t xml:space="preserve">. </w:t>
      </w:r>
      <w:r w:rsidR="00963B9E" w:rsidRPr="00E450FA">
        <w:rPr>
          <w:rFonts w:cs="Times-Roman"/>
        </w:rPr>
        <w:t>M</w:t>
      </w:r>
      <w:r w:rsidR="00182A33" w:rsidRPr="00E450FA">
        <w:rPr>
          <w:rFonts w:cs="Times-Roman"/>
        </w:rPr>
        <w:t>AC and TS</w:t>
      </w:r>
      <w:r w:rsidR="00612A5E" w:rsidRPr="00E450FA">
        <w:rPr>
          <w:rFonts w:cs="Times-Roman"/>
        </w:rPr>
        <w:t>F</w:t>
      </w:r>
      <w:r w:rsidR="00963B9E" w:rsidRPr="00E450FA">
        <w:rPr>
          <w:rFonts w:cs="Times-Roman"/>
        </w:rPr>
        <w:t xml:space="preserve"> (skin-fold thickness)</w:t>
      </w:r>
      <w:r w:rsidR="00182A33" w:rsidRPr="00E450FA">
        <w:rPr>
          <w:rFonts w:cs="Times-Roman"/>
        </w:rPr>
        <w:t xml:space="preserve"> were normalized</w:t>
      </w:r>
      <w:r w:rsidR="00A7607B" w:rsidRPr="00E450FA">
        <w:rPr>
          <w:rFonts w:cs="Times-Roman"/>
        </w:rPr>
        <w:t xml:space="preserve"> according to </w:t>
      </w:r>
    </w:p>
    <w:p w:rsidR="00A7607B" w:rsidRPr="00E450FA" w:rsidRDefault="00A7607B" w:rsidP="005453D4">
      <w:pPr>
        <w:autoSpaceDE w:val="0"/>
        <w:autoSpaceDN w:val="0"/>
        <w:bidi w:val="0"/>
        <w:adjustRightInd w:val="0"/>
        <w:spacing w:after="0" w:line="240" w:lineRule="auto"/>
        <w:rPr>
          <w:rFonts w:cs="Times-Roman"/>
        </w:rPr>
      </w:pPr>
      <w:r w:rsidRPr="00E450FA">
        <w:rPr>
          <w:rFonts w:cs="Times-Roman"/>
        </w:rPr>
        <w:t xml:space="preserve">         </w:t>
      </w:r>
      <w:proofErr w:type="spellStart"/>
      <w:r w:rsidR="00F7687D" w:rsidRPr="00E450FA">
        <w:rPr>
          <w:rFonts w:cs="Times-Roman"/>
        </w:rPr>
        <w:t>Frisancho</w:t>
      </w:r>
      <w:proofErr w:type="spellEnd"/>
      <w:r w:rsidR="00F7687D" w:rsidRPr="00E450FA">
        <w:rPr>
          <w:rFonts w:cs="Times-Roman"/>
        </w:rPr>
        <w:t xml:space="preserve"> AR.</w:t>
      </w:r>
      <w:r w:rsidRPr="00E450FA">
        <w:rPr>
          <w:rFonts w:cs="Times-Roman"/>
        </w:rPr>
        <w:t xml:space="preserve"> </w:t>
      </w:r>
      <w:r w:rsidR="00F7687D" w:rsidRPr="00E450FA">
        <w:rPr>
          <w:rFonts w:cs="Times-Italic"/>
          <w:i/>
          <w:iCs/>
        </w:rPr>
        <w:t xml:space="preserve"> </w:t>
      </w:r>
      <w:r w:rsidR="005453D4">
        <w:rPr>
          <w:rFonts w:cs="Times-Roman"/>
        </w:rPr>
        <w:t>1981,</w:t>
      </w:r>
      <w:r w:rsidR="00F7687D" w:rsidRPr="00E450FA">
        <w:rPr>
          <w:rFonts w:cs="Times-Roman"/>
        </w:rPr>
        <w:t xml:space="preserve"> </w:t>
      </w:r>
      <w:r w:rsidR="00182A33" w:rsidRPr="00E450FA">
        <w:rPr>
          <w:rFonts w:cs="Times-Roman"/>
        </w:rPr>
        <w:t>since they represent</w:t>
      </w:r>
      <w:r w:rsidR="007D0845" w:rsidRPr="00E450FA">
        <w:rPr>
          <w:rFonts w:cs="Times-Roman"/>
        </w:rPr>
        <w:t xml:space="preserve"> </w:t>
      </w:r>
      <w:r w:rsidR="00182A33" w:rsidRPr="00E450FA">
        <w:rPr>
          <w:rFonts w:cs="Times-Roman"/>
        </w:rPr>
        <w:t xml:space="preserve">different gender and age, as: data x 100, </w:t>
      </w:r>
    </w:p>
    <w:p w:rsidR="00A7607B" w:rsidRPr="00E450FA" w:rsidRDefault="00A7607B" w:rsidP="00A7607B">
      <w:pPr>
        <w:autoSpaceDE w:val="0"/>
        <w:autoSpaceDN w:val="0"/>
        <w:bidi w:val="0"/>
        <w:adjustRightInd w:val="0"/>
        <w:spacing w:after="0" w:line="240" w:lineRule="auto"/>
        <w:rPr>
          <w:rFonts w:cs="Times-Roman"/>
        </w:rPr>
      </w:pPr>
      <w:r w:rsidRPr="00E450FA">
        <w:rPr>
          <w:rFonts w:cs="Times-Roman"/>
        </w:rPr>
        <w:t xml:space="preserve">         </w:t>
      </w:r>
      <w:r w:rsidR="00182A33" w:rsidRPr="00E450FA">
        <w:rPr>
          <w:rFonts w:cs="Times-Roman"/>
        </w:rPr>
        <w:t>divided by data</w:t>
      </w:r>
      <w:r w:rsidR="007D0845" w:rsidRPr="00E450FA">
        <w:rPr>
          <w:rFonts w:cs="Times-Roman"/>
        </w:rPr>
        <w:t xml:space="preserve"> </w:t>
      </w:r>
      <w:r w:rsidR="00182A33" w:rsidRPr="00E450FA">
        <w:rPr>
          <w:rFonts w:cs="Times-Roman"/>
        </w:rPr>
        <w:t xml:space="preserve">of </w:t>
      </w:r>
      <w:r w:rsidRPr="00E450FA">
        <w:rPr>
          <w:rFonts w:cs="Times-Roman"/>
        </w:rPr>
        <w:t xml:space="preserve"> </w:t>
      </w:r>
      <w:r w:rsidR="00182A33" w:rsidRPr="00E450FA">
        <w:rPr>
          <w:rFonts w:cs="Times-Roman"/>
        </w:rPr>
        <w:t>50th percentile. The data were transformed into</w:t>
      </w:r>
      <w:r w:rsidR="008506CF" w:rsidRPr="00E450FA">
        <w:rPr>
          <w:rFonts w:cs="Times-Roman"/>
        </w:rPr>
        <w:t xml:space="preserve"> d</w:t>
      </w:r>
      <w:r w:rsidR="00182A33" w:rsidRPr="00E450FA">
        <w:rPr>
          <w:rFonts w:cs="Times-Roman"/>
        </w:rPr>
        <w:t xml:space="preserve">ichotomous </w:t>
      </w:r>
    </w:p>
    <w:p w:rsidR="00A7607B" w:rsidRPr="00E450FA" w:rsidRDefault="00A7607B" w:rsidP="005453D4">
      <w:pPr>
        <w:autoSpaceDE w:val="0"/>
        <w:autoSpaceDN w:val="0"/>
        <w:bidi w:val="0"/>
        <w:adjustRightInd w:val="0"/>
        <w:spacing w:after="0" w:line="240" w:lineRule="auto"/>
        <w:rPr>
          <w:rFonts w:cs="Times-Roman"/>
        </w:rPr>
      </w:pPr>
      <w:r w:rsidRPr="00E450FA">
        <w:rPr>
          <w:rFonts w:cs="Times-Roman"/>
        </w:rPr>
        <w:t xml:space="preserve">         </w:t>
      </w:r>
      <w:r w:rsidR="00182A33" w:rsidRPr="00E450FA">
        <w:rPr>
          <w:rFonts w:cs="Times-Roman"/>
        </w:rPr>
        <w:t>variables: TS</w:t>
      </w:r>
      <w:r w:rsidR="00612A5E" w:rsidRPr="00E450FA">
        <w:rPr>
          <w:rFonts w:cs="Times-Roman"/>
        </w:rPr>
        <w:t>F</w:t>
      </w:r>
      <w:r w:rsidR="00182A33" w:rsidRPr="00E450FA">
        <w:rPr>
          <w:rFonts w:cs="Times-Roman"/>
        </w:rPr>
        <w:t xml:space="preserve"> &lt; 70% (severe depletion)</w:t>
      </w:r>
      <w:r w:rsidR="0066144A" w:rsidRPr="00E450FA">
        <w:rPr>
          <w:rFonts w:cs="Times-Roman"/>
        </w:rPr>
        <w:t xml:space="preserve"> </w:t>
      </w:r>
      <w:r w:rsidR="00182A33" w:rsidRPr="00E450FA">
        <w:rPr>
          <w:rFonts w:cs="Times-Roman"/>
        </w:rPr>
        <w:t>or TS</w:t>
      </w:r>
      <w:r w:rsidR="00612A5E" w:rsidRPr="00E450FA">
        <w:rPr>
          <w:rFonts w:cs="Times-Roman"/>
        </w:rPr>
        <w:t>F</w:t>
      </w:r>
      <w:r w:rsidR="00182A33" w:rsidRPr="00E450FA">
        <w:rPr>
          <w:rFonts w:cs="Times-Roman"/>
        </w:rPr>
        <w:t xml:space="preserve"> &gt; 70% (not severe depletion) and </w:t>
      </w:r>
      <w:r w:rsidR="0085731D" w:rsidRPr="00E450FA">
        <w:rPr>
          <w:rFonts w:cs="Times-Roman"/>
        </w:rPr>
        <w:t>M</w:t>
      </w:r>
      <w:r w:rsidR="00182A33" w:rsidRPr="00E450FA">
        <w:rPr>
          <w:rFonts w:cs="Times-Roman"/>
        </w:rPr>
        <w:t xml:space="preserve">AC </w:t>
      </w:r>
    </w:p>
    <w:p w:rsidR="007D36EB" w:rsidRPr="00E450FA" w:rsidRDefault="00A7607B" w:rsidP="00156ECB">
      <w:pPr>
        <w:autoSpaceDE w:val="0"/>
        <w:autoSpaceDN w:val="0"/>
        <w:bidi w:val="0"/>
        <w:adjustRightInd w:val="0"/>
        <w:spacing w:after="0" w:line="240" w:lineRule="auto"/>
        <w:rPr>
          <w:rFonts w:cs="Times-Roman"/>
        </w:rPr>
      </w:pPr>
      <w:r w:rsidRPr="00E450FA">
        <w:rPr>
          <w:rFonts w:cs="Times-Roman"/>
        </w:rPr>
        <w:t xml:space="preserve">         </w:t>
      </w:r>
      <w:r w:rsidR="00182A33" w:rsidRPr="00E450FA">
        <w:rPr>
          <w:rFonts w:cs="Times-Roman"/>
        </w:rPr>
        <w:t>&lt; 25</w:t>
      </w:r>
      <w:r w:rsidRPr="00E450FA">
        <w:rPr>
          <w:rFonts w:cs="Times-Roman"/>
        </w:rPr>
        <w:t xml:space="preserve"> </w:t>
      </w:r>
      <w:r w:rsidR="00182A33" w:rsidRPr="00E450FA">
        <w:rPr>
          <w:rFonts w:cs="Times-Roman"/>
        </w:rPr>
        <w:t>cm</w:t>
      </w:r>
      <w:r w:rsidR="008506CF" w:rsidRPr="00E450FA">
        <w:rPr>
          <w:rFonts w:cs="Times-Roman"/>
        </w:rPr>
        <w:t xml:space="preserve"> </w:t>
      </w:r>
      <w:r w:rsidR="007D36EB" w:rsidRPr="00E450FA">
        <w:rPr>
          <w:rFonts w:cs="Times-Roman"/>
        </w:rPr>
        <w:t>(with</w:t>
      </w:r>
      <w:r w:rsidR="0066144A" w:rsidRPr="00E450FA">
        <w:rPr>
          <w:rFonts w:cs="Times-Roman"/>
        </w:rPr>
        <w:t xml:space="preserve"> </w:t>
      </w:r>
      <w:r w:rsidR="00182A33" w:rsidRPr="00E450FA">
        <w:rPr>
          <w:rFonts w:cs="Times-Roman"/>
        </w:rPr>
        <w:t xml:space="preserve">depletion) or </w:t>
      </w:r>
      <w:r w:rsidR="0085731D" w:rsidRPr="00E450FA">
        <w:rPr>
          <w:rFonts w:cs="Times-Roman"/>
        </w:rPr>
        <w:t>M</w:t>
      </w:r>
      <w:r w:rsidR="00182A33" w:rsidRPr="00E450FA">
        <w:rPr>
          <w:rFonts w:cs="Times-Roman"/>
        </w:rPr>
        <w:t>AC &gt; 25 cm (without depletion), as</w:t>
      </w:r>
      <w:r w:rsidR="008506CF" w:rsidRPr="00E450FA">
        <w:rPr>
          <w:rFonts w:cs="Times-Roman"/>
        </w:rPr>
        <w:t xml:space="preserve"> </w:t>
      </w:r>
      <w:r w:rsidR="00182A33" w:rsidRPr="00E450FA">
        <w:rPr>
          <w:rFonts w:cs="Times-Roman"/>
        </w:rPr>
        <w:t xml:space="preserve">previously defined </w:t>
      </w:r>
    </w:p>
    <w:p w:rsidR="002F138F" w:rsidRDefault="007D36EB" w:rsidP="00FF6903">
      <w:pPr>
        <w:autoSpaceDE w:val="0"/>
        <w:autoSpaceDN w:val="0"/>
        <w:bidi w:val="0"/>
        <w:adjustRightInd w:val="0"/>
        <w:spacing w:after="0" w:line="240" w:lineRule="auto"/>
        <w:rPr>
          <w:rFonts w:cs="Times-Roman"/>
        </w:rPr>
      </w:pPr>
      <w:r w:rsidRPr="00E450FA">
        <w:rPr>
          <w:rFonts w:cs="Times-Roman"/>
        </w:rPr>
        <w:t xml:space="preserve">         </w:t>
      </w:r>
      <w:r w:rsidR="00182A33" w:rsidRPr="00E450FA">
        <w:rPr>
          <w:rFonts w:cs="Times-Roman"/>
        </w:rPr>
        <w:t>and used by Powell-Tuck.</w:t>
      </w:r>
      <w:r w:rsidR="004C20E7" w:rsidRPr="00E450FA">
        <w:rPr>
          <w:rFonts w:cs="Times-Roman"/>
        </w:rPr>
        <w:t>(</w:t>
      </w:r>
      <w:r w:rsidR="0066144A" w:rsidRPr="00E450FA">
        <w:rPr>
          <w:rFonts w:cs="Times-Roman"/>
        </w:rPr>
        <w:t xml:space="preserve"> Powell-Tuck</w:t>
      </w:r>
      <w:r w:rsidR="00131BE3" w:rsidRPr="00E450FA">
        <w:rPr>
          <w:rFonts w:cs="Times-Roman"/>
        </w:rPr>
        <w:t xml:space="preserve"> </w:t>
      </w:r>
      <w:r w:rsidR="00F7687D" w:rsidRPr="00E450FA">
        <w:rPr>
          <w:rFonts w:cs="Times-Roman"/>
        </w:rPr>
        <w:t>J</w:t>
      </w:r>
      <w:r w:rsidR="004C20E7" w:rsidRPr="00E450FA">
        <w:rPr>
          <w:rFonts w:cs="Times-Roman"/>
        </w:rPr>
        <w:t xml:space="preserve"> and</w:t>
      </w:r>
      <w:r w:rsidR="00F7687D" w:rsidRPr="00E450FA">
        <w:rPr>
          <w:rFonts w:cs="Times-Roman"/>
        </w:rPr>
        <w:t xml:space="preserve"> Hennessy EM</w:t>
      </w:r>
      <w:r w:rsidR="00F7687D" w:rsidRPr="00E450FA">
        <w:rPr>
          <w:rFonts w:cs="Times-Italic"/>
          <w:i/>
          <w:iCs/>
        </w:rPr>
        <w:t xml:space="preserve"> </w:t>
      </w:r>
      <w:r w:rsidR="00F7687D" w:rsidRPr="00E450FA">
        <w:rPr>
          <w:rFonts w:cs="Times-Roman"/>
        </w:rPr>
        <w:t>2003</w:t>
      </w:r>
      <w:r w:rsidR="004C20E7" w:rsidRPr="00E450FA">
        <w:rPr>
          <w:rFonts w:cs="Times-Roman"/>
        </w:rPr>
        <w:t>).</w:t>
      </w:r>
    </w:p>
    <w:p w:rsidR="00434754" w:rsidRPr="00E450FA" w:rsidRDefault="00434754" w:rsidP="00434754">
      <w:pPr>
        <w:autoSpaceDE w:val="0"/>
        <w:autoSpaceDN w:val="0"/>
        <w:bidi w:val="0"/>
        <w:adjustRightInd w:val="0"/>
        <w:spacing w:after="0" w:line="240" w:lineRule="auto"/>
        <w:rPr>
          <w:rFonts w:cs="Times-Roman"/>
        </w:rPr>
      </w:pPr>
    </w:p>
    <w:p w:rsidR="002F138F" w:rsidRPr="00556FC3" w:rsidRDefault="002F138F" w:rsidP="002F138F">
      <w:pPr>
        <w:autoSpaceDE w:val="0"/>
        <w:autoSpaceDN w:val="0"/>
        <w:bidi w:val="0"/>
        <w:adjustRightInd w:val="0"/>
        <w:spacing w:after="0" w:line="240" w:lineRule="auto"/>
        <w:rPr>
          <w:rFonts w:cs="Times-Roman"/>
        </w:rPr>
      </w:pPr>
    </w:p>
    <w:p w:rsidR="00BF67D9" w:rsidRPr="00556FC3" w:rsidRDefault="00BF67D9" w:rsidP="00BF67D9">
      <w:pPr>
        <w:autoSpaceDE w:val="0"/>
        <w:autoSpaceDN w:val="0"/>
        <w:bidi w:val="0"/>
        <w:adjustRightInd w:val="0"/>
        <w:spacing w:after="0" w:line="240" w:lineRule="auto"/>
        <w:rPr>
          <w:rFonts w:cs="Times-Roman"/>
        </w:rPr>
      </w:pPr>
    </w:p>
    <w:p w:rsidR="006138C7" w:rsidRPr="00556FC3" w:rsidRDefault="00EE18AE" w:rsidP="00E450FA">
      <w:pPr>
        <w:autoSpaceDE w:val="0"/>
        <w:autoSpaceDN w:val="0"/>
        <w:bidi w:val="0"/>
        <w:adjustRightInd w:val="0"/>
        <w:spacing w:after="0" w:line="240" w:lineRule="auto"/>
        <w:rPr>
          <w:rFonts w:cs="Times-Roman"/>
        </w:rPr>
      </w:pPr>
      <w:r w:rsidRPr="00556FC3">
        <w:rPr>
          <w:rFonts w:cs="Times-Roman"/>
        </w:rPr>
        <w:lastRenderedPageBreak/>
        <w:t>Type</w:t>
      </w:r>
      <w:r w:rsidR="00375C55">
        <w:rPr>
          <w:rFonts w:cs="Times-Roman"/>
        </w:rPr>
        <w:t>s</w:t>
      </w:r>
      <w:r w:rsidRPr="00556FC3">
        <w:rPr>
          <w:rFonts w:cs="Times-Roman"/>
        </w:rPr>
        <w:t xml:space="preserve"> of diseases w</w:t>
      </w:r>
      <w:r w:rsidR="00375C55">
        <w:rPr>
          <w:rFonts w:cs="Times-Roman"/>
        </w:rPr>
        <w:t>ere</w:t>
      </w:r>
      <w:r w:rsidRPr="00556FC3">
        <w:rPr>
          <w:rFonts w:cs="Times-Roman"/>
        </w:rPr>
        <w:t xml:space="preserve"> classified to </w:t>
      </w:r>
      <w:r w:rsidR="00E450FA">
        <w:rPr>
          <w:rFonts w:cs="Times-Roman"/>
        </w:rPr>
        <w:t>respiratory</w:t>
      </w:r>
      <w:r w:rsidRPr="00556FC3">
        <w:rPr>
          <w:rFonts w:cs="Times-Roman"/>
        </w:rPr>
        <w:t>, digestive, neurological, diabetic or others.</w:t>
      </w:r>
    </w:p>
    <w:p w:rsidR="006138C7" w:rsidRPr="00556FC3" w:rsidRDefault="006138C7" w:rsidP="006138C7">
      <w:pPr>
        <w:autoSpaceDE w:val="0"/>
        <w:autoSpaceDN w:val="0"/>
        <w:bidi w:val="0"/>
        <w:adjustRightInd w:val="0"/>
        <w:spacing w:after="0" w:line="240" w:lineRule="auto"/>
        <w:rPr>
          <w:rFonts w:cs="Times-Roman"/>
        </w:rPr>
      </w:pPr>
    </w:p>
    <w:p w:rsidR="00EE18AE" w:rsidRPr="00556FC3" w:rsidRDefault="00EE18AE" w:rsidP="00E450FA">
      <w:pPr>
        <w:autoSpaceDE w:val="0"/>
        <w:autoSpaceDN w:val="0"/>
        <w:bidi w:val="0"/>
        <w:adjustRightInd w:val="0"/>
        <w:spacing w:after="0" w:line="240" w:lineRule="auto"/>
        <w:rPr>
          <w:rFonts w:cs="Times-Roman"/>
        </w:rPr>
      </w:pPr>
      <w:r w:rsidRPr="00556FC3">
        <w:rPr>
          <w:rFonts w:cs="Times-Roman"/>
        </w:rPr>
        <w:t xml:space="preserve"> Age was stratified as adult</w:t>
      </w:r>
      <w:r w:rsidR="006138C7" w:rsidRPr="00556FC3">
        <w:rPr>
          <w:rFonts w:cs="Times-Roman"/>
        </w:rPr>
        <w:t xml:space="preserve"> </w:t>
      </w:r>
      <w:r w:rsidRPr="00556FC3">
        <w:rPr>
          <w:rFonts w:cs="Times-Roman"/>
        </w:rPr>
        <w:t>(&lt; 60y) and elderly (60y or more</w:t>
      </w:r>
      <w:r w:rsidR="00E450FA">
        <w:rPr>
          <w:rFonts w:cs="Times-Roman"/>
        </w:rPr>
        <w:t>). T</w:t>
      </w:r>
      <w:r w:rsidRPr="00556FC3">
        <w:rPr>
          <w:rFonts w:cs="Times-Roman"/>
        </w:rPr>
        <w:t>he LOS was categorized into two</w:t>
      </w:r>
      <w:r w:rsidR="00E940F5" w:rsidRPr="00556FC3">
        <w:rPr>
          <w:rFonts w:cs="Times-Roman"/>
        </w:rPr>
        <w:t xml:space="preserve"> </w:t>
      </w:r>
      <w:r w:rsidRPr="00556FC3">
        <w:rPr>
          <w:rFonts w:cs="Times-Roman"/>
        </w:rPr>
        <w:t>groups:</w:t>
      </w:r>
      <w:r w:rsidR="000F1602">
        <w:rPr>
          <w:rFonts w:cs="Times-Roman"/>
        </w:rPr>
        <w:t xml:space="preserve"> </w:t>
      </w:r>
      <w:r w:rsidRPr="00556FC3">
        <w:rPr>
          <w:rFonts w:cs="Times-Roman"/>
        </w:rPr>
        <w:t xml:space="preserve"> </w:t>
      </w:r>
      <w:r w:rsidR="00E940F5" w:rsidRPr="00556FC3">
        <w:rPr>
          <w:rFonts w:cs="Times-Roman"/>
        </w:rPr>
        <w:t>up to</w:t>
      </w:r>
      <w:r w:rsidRPr="00556FC3">
        <w:rPr>
          <w:rFonts w:cs="Times-Roman"/>
        </w:rPr>
        <w:t xml:space="preserve"> </w:t>
      </w:r>
      <w:r w:rsidR="00E940F5" w:rsidRPr="00556FC3">
        <w:rPr>
          <w:rFonts w:cs="Times-Roman"/>
        </w:rPr>
        <w:t>5</w:t>
      </w:r>
      <w:r w:rsidRPr="00556FC3">
        <w:rPr>
          <w:rFonts w:cs="Times-Roman"/>
        </w:rPr>
        <w:t xml:space="preserve"> days (short) and</w:t>
      </w:r>
      <w:r w:rsidR="00E940F5" w:rsidRPr="00556FC3">
        <w:rPr>
          <w:rFonts w:cs="Times-Roman"/>
        </w:rPr>
        <w:t xml:space="preserve"> &gt;5</w:t>
      </w:r>
      <w:r w:rsidRPr="00556FC3">
        <w:rPr>
          <w:rFonts w:cs="Times-Roman"/>
        </w:rPr>
        <w:t xml:space="preserve"> days (long).</w:t>
      </w:r>
    </w:p>
    <w:p w:rsidR="000C1405" w:rsidRPr="00556FC3" w:rsidRDefault="000C1405" w:rsidP="000C1405">
      <w:pPr>
        <w:autoSpaceDE w:val="0"/>
        <w:autoSpaceDN w:val="0"/>
        <w:bidi w:val="0"/>
        <w:adjustRightInd w:val="0"/>
        <w:spacing w:after="0" w:line="240" w:lineRule="auto"/>
        <w:rPr>
          <w:rFonts w:cs="Times-Roman"/>
        </w:rPr>
      </w:pPr>
    </w:p>
    <w:p w:rsidR="00DE79F4" w:rsidRPr="00556FC3" w:rsidRDefault="00DE79F4" w:rsidP="000F1602">
      <w:pPr>
        <w:autoSpaceDE w:val="0"/>
        <w:autoSpaceDN w:val="0"/>
        <w:bidi w:val="0"/>
        <w:adjustRightInd w:val="0"/>
        <w:spacing w:after="0" w:line="240" w:lineRule="auto"/>
        <w:rPr>
          <w:rFonts w:cs="Times-Roman"/>
        </w:rPr>
      </w:pPr>
      <w:r w:rsidRPr="00556FC3">
        <w:rPr>
          <w:rFonts w:cs="Times-Italic"/>
        </w:rPr>
        <w:t>Reference Values for Mid-arm Muscle Circumference</w:t>
      </w:r>
    </w:p>
    <w:tbl>
      <w:tblPr>
        <w:tblStyle w:val="a3"/>
        <w:tblW w:w="0" w:type="auto"/>
        <w:tblLook w:val="04A0" w:firstRow="1" w:lastRow="0" w:firstColumn="1" w:lastColumn="0" w:noHBand="0" w:noVBand="1"/>
      </w:tblPr>
      <w:tblGrid>
        <w:gridCol w:w="1420"/>
        <w:gridCol w:w="1420"/>
        <w:gridCol w:w="1420"/>
      </w:tblGrid>
      <w:tr w:rsidR="00DE79F4" w:rsidRPr="00556FC3" w:rsidTr="00BA6621">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Age</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50</w:t>
            </w:r>
            <w:r w:rsidRPr="00556FC3">
              <w:rPr>
                <w:rFonts w:cs="Times-Italic"/>
                <w:vertAlign w:val="superscript"/>
              </w:rPr>
              <w:t>th</w:t>
            </w:r>
            <w:r w:rsidRPr="00556FC3">
              <w:rPr>
                <w:rFonts w:cs="Times-Italic"/>
              </w:rPr>
              <w:t xml:space="preserve"> Male</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50</w:t>
            </w:r>
            <w:r w:rsidRPr="00556FC3">
              <w:rPr>
                <w:rFonts w:cs="Times-Italic"/>
                <w:vertAlign w:val="superscript"/>
              </w:rPr>
              <w:t>th</w:t>
            </w:r>
            <w:r w:rsidRPr="00556FC3">
              <w:rPr>
                <w:rFonts w:cs="Times-Italic"/>
              </w:rPr>
              <w:t xml:space="preserve"> females</w:t>
            </w:r>
          </w:p>
        </w:tc>
      </w:tr>
      <w:tr w:rsidR="00DE79F4" w:rsidRPr="00556FC3" w:rsidTr="00BA6621">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18 - 24</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27.2</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20.6</w:t>
            </w:r>
          </w:p>
        </w:tc>
      </w:tr>
      <w:tr w:rsidR="00DE79F4" w:rsidRPr="00556FC3" w:rsidTr="00BA6621">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25 - 34</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28.0</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21.4</w:t>
            </w:r>
          </w:p>
        </w:tc>
      </w:tr>
      <w:tr w:rsidR="00DE79F4" w:rsidRPr="00556FC3" w:rsidTr="00BA6621">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35 - 44</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28.7</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22</w:t>
            </w:r>
          </w:p>
        </w:tc>
      </w:tr>
      <w:tr w:rsidR="00DE79F4" w:rsidRPr="00556FC3" w:rsidTr="00BA6621">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45 - 54</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28.1</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22.2</w:t>
            </w:r>
          </w:p>
        </w:tc>
      </w:tr>
      <w:tr w:rsidR="00DE79F4" w:rsidRPr="00556FC3" w:rsidTr="00BA6621">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55 - 64</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27.9</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22.6</w:t>
            </w:r>
          </w:p>
        </w:tc>
      </w:tr>
      <w:tr w:rsidR="00DE79F4" w:rsidRPr="00556FC3" w:rsidTr="00BA6621">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65 - 74</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26.9</w:t>
            </w:r>
          </w:p>
        </w:tc>
        <w:tc>
          <w:tcPr>
            <w:tcW w:w="1420" w:type="dxa"/>
          </w:tcPr>
          <w:p w:rsidR="00DE79F4" w:rsidRPr="00556FC3" w:rsidRDefault="00DE79F4" w:rsidP="00BA6621">
            <w:pPr>
              <w:autoSpaceDE w:val="0"/>
              <w:autoSpaceDN w:val="0"/>
              <w:bidi w:val="0"/>
              <w:adjustRightInd w:val="0"/>
              <w:rPr>
                <w:rFonts w:cs="Times-Italic"/>
              </w:rPr>
            </w:pPr>
            <w:r w:rsidRPr="00556FC3">
              <w:rPr>
                <w:rFonts w:cs="Times-Italic"/>
              </w:rPr>
              <w:t>22.5</w:t>
            </w:r>
          </w:p>
        </w:tc>
      </w:tr>
    </w:tbl>
    <w:p w:rsidR="000F1602" w:rsidRDefault="00DE79F4" w:rsidP="005453D4">
      <w:pPr>
        <w:bidi w:val="0"/>
        <w:spacing w:before="100" w:beforeAutospacing="1" w:after="100" w:afterAutospacing="1" w:line="240" w:lineRule="atLeast"/>
        <w:rPr>
          <w:rFonts w:cs="Times-Italic"/>
        </w:rPr>
      </w:pPr>
      <w:r w:rsidRPr="00556FC3">
        <w:rPr>
          <w:rFonts w:cs="Times-Italic"/>
        </w:rPr>
        <w:t>Developed from data collected</w:t>
      </w:r>
      <w:r w:rsidR="00E631BC">
        <w:rPr>
          <w:rFonts w:cs="Times-Italic"/>
        </w:rPr>
        <w:t xml:space="preserve"> during the NHANES I, 1974</w:t>
      </w:r>
      <w:r w:rsidRPr="00556FC3">
        <w:rPr>
          <w:rFonts w:cs="Times-Italic"/>
        </w:rPr>
        <w:t xml:space="preserve">. </w:t>
      </w:r>
      <w:r w:rsidR="00150722" w:rsidRPr="00556FC3">
        <w:rPr>
          <w:rFonts w:eastAsia="Times New Roman" w:cs="Arial"/>
          <w:color w:val="000000"/>
        </w:rPr>
        <w:t xml:space="preserve"> (</w:t>
      </w:r>
      <w:r w:rsidRPr="00556FC3">
        <w:rPr>
          <w:rFonts w:eastAsia="Times New Roman" w:cs="Arial"/>
          <w:color w:val="000000"/>
        </w:rPr>
        <w:t xml:space="preserve">Bishop, C.W., </w:t>
      </w:r>
      <w:r w:rsidR="00150722" w:rsidRPr="00556FC3">
        <w:rPr>
          <w:rFonts w:eastAsia="Times New Roman" w:cs="Arial"/>
          <w:color w:val="000000"/>
        </w:rPr>
        <w:t xml:space="preserve">et al., </w:t>
      </w:r>
      <w:r w:rsidRPr="00556FC3">
        <w:rPr>
          <w:rFonts w:eastAsia="Times New Roman" w:cs="Arial"/>
          <w:color w:val="000000"/>
        </w:rPr>
        <w:t>1981.</w:t>
      </w:r>
      <w:r w:rsidR="00150722" w:rsidRPr="00556FC3">
        <w:rPr>
          <w:rFonts w:eastAsia="Times New Roman" w:cs="Arial"/>
          <w:color w:val="000000"/>
        </w:rPr>
        <w:t>)</w:t>
      </w:r>
      <w:r w:rsidRPr="00556FC3">
        <w:rPr>
          <w:rFonts w:eastAsia="Times New Roman" w:cs="Arial"/>
          <w:color w:val="000000"/>
        </w:rPr>
        <w:t xml:space="preserve"> </w:t>
      </w:r>
    </w:p>
    <w:p w:rsidR="009B02F4" w:rsidRPr="00556FC3" w:rsidRDefault="009B02F4" w:rsidP="000F1602">
      <w:pPr>
        <w:bidi w:val="0"/>
        <w:spacing w:before="100" w:beforeAutospacing="1" w:after="100" w:afterAutospacing="1" w:line="240" w:lineRule="atLeast"/>
        <w:rPr>
          <w:rFonts w:cs="Times-Italic"/>
        </w:rPr>
      </w:pPr>
      <w:r w:rsidRPr="00556FC3">
        <w:rPr>
          <w:rFonts w:cs="Times-Italic"/>
        </w:rPr>
        <w:t>Reference Values for Mid-arm Muscle Circumference</w:t>
      </w:r>
    </w:p>
    <w:p w:rsidR="009B02F4" w:rsidRPr="00556FC3" w:rsidRDefault="009B02F4" w:rsidP="009B02F4">
      <w:pPr>
        <w:autoSpaceDE w:val="0"/>
        <w:autoSpaceDN w:val="0"/>
        <w:bidi w:val="0"/>
        <w:adjustRightInd w:val="0"/>
        <w:spacing w:after="0" w:line="240" w:lineRule="auto"/>
        <w:rPr>
          <w:rFonts w:cs="Times-Italic"/>
        </w:rPr>
      </w:pPr>
      <w:r w:rsidRPr="00556FC3">
        <w:rPr>
          <w:rFonts w:cs="Times-Italic"/>
        </w:rPr>
        <w:t>Males (cm percentile)</w:t>
      </w:r>
    </w:p>
    <w:tbl>
      <w:tblPr>
        <w:tblStyle w:val="a3"/>
        <w:tblW w:w="0" w:type="auto"/>
        <w:tblLook w:val="04A0" w:firstRow="1" w:lastRow="0" w:firstColumn="1" w:lastColumn="0" w:noHBand="0" w:noVBand="1"/>
      </w:tblPr>
      <w:tblGrid>
        <w:gridCol w:w="1420"/>
        <w:gridCol w:w="1420"/>
        <w:gridCol w:w="1420"/>
        <w:gridCol w:w="1420"/>
        <w:gridCol w:w="1421"/>
        <w:gridCol w:w="1421"/>
      </w:tblGrid>
      <w:tr w:rsidR="009B02F4" w:rsidRPr="00556FC3" w:rsidTr="009B02F4">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Age</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10th</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25th</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50th</w:t>
            </w:r>
          </w:p>
        </w:tc>
        <w:tc>
          <w:tcPr>
            <w:tcW w:w="1421" w:type="dxa"/>
          </w:tcPr>
          <w:p w:rsidR="009B02F4" w:rsidRPr="00556FC3" w:rsidRDefault="009B02F4" w:rsidP="009B02F4">
            <w:pPr>
              <w:autoSpaceDE w:val="0"/>
              <w:autoSpaceDN w:val="0"/>
              <w:bidi w:val="0"/>
              <w:adjustRightInd w:val="0"/>
              <w:rPr>
                <w:rFonts w:cs="Times-Italic"/>
              </w:rPr>
            </w:pPr>
            <w:r w:rsidRPr="00556FC3">
              <w:rPr>
                <w:rFonts w:cs="Times-Italic"/>
              </w:rPr>
              <w:t>75th</w:t>
            </w:r>
          </w:p>
        </w:tc>
        <w:tc>
          <w:tcPr>
            <w:tcW w:w="1421" w:type="dxa"/>
          </w:tcPr>
          <w:p w:rsidR="009B02F4" w:rsidRPr="00556FC3" w:rsidRDefault="009B02F4" w:rsidP="009B02F4">
            <w:pPr>
              <w:autoSpaceDE w:val="0"/>
              <w:autoSpaceDN w:val="0"/>
              <w:bidi w:val="0"/>
              <w:adjustRightInd w:val="0"/>
              <w:rPr>
                <w:rFonts w:cs="Times-Italic"/>
              </w:rPr>
            </w:pPr>
            <w:r w:rsidRPr="00556FC3">
              <w:rPr>
                <w:rFonts w:cs="Times-Italic"/>
              </w:rPr>
              <w:t>90th</w:t>
            </w:r>
          </w:p>
        </w:tc>
      </w:tr>
      <w:tr w:rsidR="009B02F4" w:rsidRPr="00556FC3" w:rsidTr="009B02F4">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18 - 24</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24.4</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25.8</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27.2</w:t>
            </w:r>
          </w:p>
        </w:tc>
        <w:tc>
          <w:tcPr>
            <w:tcW w:w="1421" w:type="dxa"/>
          </w:tcPr>
          <w:p w:rsidR="009B02F4" w:rsidRPr="00556FC3" w:rsidRDefault="009B02F4" w:rsidP="009B02F4">
            <w:pPr>
              <w:autoSpaceDE w:val="0"/>
              <w:autoSpaceDN w:val="0"/>
              <w:bidi w:val="0"/>
              <w:adjustRightInd w:val="0"/>
              <w:rPr>
                <w:rFonts w:cs="Times-Italic"/>
              </w:rPr>
            </w:pPr>
            <w:r w:rsidRPr="00556FC3">
              <w:rPr>
                <w:rFonts w:cs="Times-Italic"/>
              </w:rPr>
              <w:t>28.9</w:t>
            </w:r>
          </w:p>
        </w:tc>
        <w:tc>
          <w:tcPr>
            <w:tcW w:w="1421" w:type="dxa"/>
          </w:tcPr>
          <w:p w:rsidR="009B02F4" w:rsidRPr="00556FC3" w:rsidRDefault="009B02F4" w:rsidP="009B02F4">
            <w:pPr>
              <w:autoSpaceDE w:val="0"/>
              <w:autoSpaceDN w:val="0"/>
              <w:bidi w:val="0"/>
              <w:adjustRightInd w:val="0"/>
              <w:rPr>
                <w:rFonts w:cs="Times-Italic"/>
              </w:rPr>
            </w:pPr>
            <w:r w:rsidRPr="00556FC3">
              <w:rPr>
                <w:rFonts w:cs="Times-Italic"/>
              </w:rPr>
              <w:t>30.8</w:t>
            </w:r>
          </w:p>
        </w:tc>
      </w:tr>
      <w:tr w:rsidR="009B02F4" w:rsidRPr="00556FC3" w:rsidTr="009B02F4">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25 - 34</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25.3</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26.5</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28.0</w:t>
            </w:r>
          </w:p>
        </w:tc>
        <w:tc>
          <w:tcPr>
            <w:tcW w:w="1421" w:type="dxa"/>
          </w:tcPr>
          <w:p w:rsidR="009B02F4" w:rsidRPr="00556FC3" w:rsidRDefault="009B02F4" w:rsidP="009B02F4">
            <w:pPr>
              <w:autoSpaceDE w:val="0"/>
              <w:autoSpaceDN w:val="0"/>
              <w:bidi w:val="0"/>
              <w:adjustRightInd w:val="0"/>
              <w:rPr>
                <w:rFonts w:cs="Times-Italic"/>
              </w:rPr>
            </w:pPr>
            <w:r w:rsidRPr="00556FC3">
              <w:rPr>
                <w:rFonts w:cs="Times-Italic"/>
              </w:rPr>
              <w:t>30.0</w:t>
            </w:r>
          </w:p>
        </w:tc>
        <w:tc>
          <w:tcPr>
            <w:tcW w:w="1421" w:type="dxa"/>
          </w:tcPr>
          <w:p w:rsidR="009B02F4" w:rsidRPr="00556FC3" w:rsidRDefault="009B02F4" w:rsidP="009B02F4">
            <w:pPr>
              <w:autoSpaceDE w:val="0"/>
              <w:autoSpaceDN w:val="0"/>
              <w:bidi w:val="0"/>
              <w:adjustRightInd w:val="0"/>
              <w:rPr>
                <w:rFonts w:cs="Times-Italic"/>
              </w:rPr>
            </w:pPr>
            <w:r w:rsidRPr="00556FC3">
              <w:rPr>
                <w:rFonts w:cs="Times-Italic"/>
              </w:rPr>
              <w:t>31.7</w:t>
            </w:r>
          </w:p>
        </w:tc>
      </w:tr>
      <w:tr w:rsidR="009B02F4" w:rsidRPr="00556FC3" w:rsidTr="009B02F4">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35 - 44</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25.6</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27.1</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28.7</w:t>
            </w:r>
          </w:p>
        </w:tc>
        <w:tc>
          <w:tcPr>
            <w:tcW w:w="1421" w:type="dxa"/>
          </w:tcPr>
          <w:p w:rsidR="009B02F4" w:rsidRPr="00556FC3" w:rsidRDefault="009B02F4" w:rsidP="009B02F4">
            <w:pPr>
              <w:autoSpaceDE w:val="0"/>
              <w:autoSpaceDN w:val="0"/>
              <w:bidi w:val="0"/>
              <w:adjustRightInd w:val="0"/>
              <w:rPr>
                <w:rFonts w:cs="Times-Italic"/>
              </w:rPr>
            </w:pPr>
            <w:r w:rsidRPr="00556FC3">
              <w:rPr>
                <w:rFonts w:cs="Times-Italic"/>
              </w:rPr>
              <w:t>30.3</w:t>
            </w:r>
          </w:p>
        </w:tc>
        <w:tc>
          <w:tcPr>
            <w:tcW w:w="1421" w:type="dxa"/>
          </w:tcPr>
          <w:p w:rsidR="009B02F4" w:rsidRPr="00556FC3" w:rsidRDefault="009B02F4" w:rsidP="009B02F4">
            <w:pPr>
              <w:autoSpaceDE w:val="0"/>
              <w:autoSpaceDN w:val="0"/>
              <w:bidi w:val="0"/>
              <w:adjustRightInd w:val="0"/>
              <w:rPr>
                <w:rFonts w:cs="Times-Italic"/>
              </w:rPr>
            </w:pPr>
            <w:r w:rsidRPr="00556FC3">
              <w:rPr>
                <w:rFonts w:cs="Times-Italic"/>
              </w:rPr>
              <w:t>32.1</w:t>
            </w:r>
          </w:p>
        </w:tc>
      </w:tr>
      <w:tr w:rsidR="009B02F4" w:rsidRPr="00556FC3" w:rsidTr="009B02F4">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45 - 54</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24.9</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26.5</w:t>
            </w:r>
          </w:p>
        </w:tc>
        <w:tc>
          <w:tcPr>
            <w:tcW w:w="1420" w:type="dxa"/>
          </w:tcPr>
          <w:p w:rsidR="009B02F4" w:rsidRPr="00556FC3" w:rsidRDefault="009B02F4" w:rsidP="009B02F4">
            <w:pPr>
              <w:autoSpaceDE w:val="0"/>
              <w:autoSpaceDN w:val="0"/>
              <w:bidi w:val="0"/>
              <w:adjustRightInd w:val="0"/>
              <w:rPr>
                <w:rFonts w:cs="Times-Italic"/>
              </w:rPr>
            </w:pPr>
            <w:r w:rsidRPr="00556FC3">
              <w:rPr>
                <w:rFonts w:cs="Times-Italic"/>
              </w:rPr>
              <w:t>28.1</w:t>
            </w:r>
          </w:p>
        </w:tc>
        <w:tc>
          <w:tcPr>
            <w:tcW w:w="1421" w:type="dxa"/>
          </w:tcPr>
          <w:p w:rsidR="009B02F4" w:rsidRPr="00556FC3" w:rsidRDefault="00C64DC3" w:rsidP="009B02F4">
            <w:pPr>
              <w:autoSpaceDE w:val="0"/>
              <w:autoSpaceDN w:val="0"/>
              <w:bidi w:val="0"/>
              <w:adjustRightInd w:val="0"/>
              <w:rPr>
                <w:rFonts w:cs="Times-Italic"/>
              </w:rPr>
            </w:pPr>
            <w:r w:rsidRPr="00556FC3">
              <w:rPr>
                <w:rFonts w:cs="Times-Italic"/>
              </w:rPr>
              <w:t>29.8</w:t>
            </w:r>
          </w:p>
        </w:tc>
        <w:tc>
          <w:tcPr>
            <w:tcW w:w="1421" w:type="dxa"/>
          </w:tcPr>
          <w:p w:rsidR="009B02F4" w:rsidRPr="00556FC3" w:rsidRDefault="00C64DC3" w:rsidP="009B02F4">
            <w:pPr>
              <w:autoSpaceDE w:val="0"/>
              <w:autoSpaceDN w:val="0"/>
              <w:bidi w:val="0"/>
              <w:adjustRightInd w:val="0"/>
              <w:rPr>
                <w:rFonts w:cs="Times-Italic"/>
              </w:rPr>
            </w:pPr>
            <w:r w:rsidRPr="00556FC3">
              <w:rPr>
                <w:rFonts w:cs="Times-Italic"/>
              </w:rPr>
              <w:t>31.5</w:t>
            </w:r>
          </w:p>
        </w:tc>
      </w:tr>
      <w:tr w:rsidR="009B02F4" w:rsidRPr="00556FC3" w:rsidTr="009B02F4">
        <w:tc>
          <w:tcPr>
            <w:tcW w:w="1420" w:type="dxa"/>
          </w:tcPr>
          <w:p w:rsidR="009B02F4" w:rsidRPr="00556FC3" w:rsidRDefault="00C64DC3" w:rsidP="009B02F4">
            <w:pPr>
              <w:autoSpaceDE w:val="0"/>
              <w:autoSpaceDN w:val="0"/>
              <w:bidi w:val="0"/>
              <w:adjustRightInd w:val="0"/>
              <w:rPr>
                <w:rFonts w:cs="Times-Italic"/>
              </w:rPr>
            </w:pPr>
            <w:r w:rsidRPr="00556FC3">
              <w:rPr>
                <w:rFonts w:cs="Times-Italic"/>
              </w:rPr>
              <w:t>55 - 64</w:t>
            </w:r>
          </w:p>
        </w:tc>
        <w:tc>
          <w:tcPr>
            <w:tcW w:w="1420" w:type="dxa"/>
          </w:tcPr>
          <w:p w:rsidR="009B02F4" w:rsidRPr="00556FC3" w:rsidRDefault="00C64DC3" w:rsidP="009B02F4">
            <w:pPr>
              <w:autoSpaceDE w:val="0"/>
              <w:autoSpaceDN w:val="0"/>
              <w:bidi w:val="0"/>
              <w:adjustRightInd w:val="0"/>
              <w:rPr>
                <w:rFonts w:cs="Times-Italic"/>
              </w:rPr>
            </w:pPr>
            <w:r w:rsidRPr="00556FC3">
              <w:rPr>
                <w:rFonts w:cs="Times-Italic"/>
              </w:rPr>
              <w:t>24.4</w:t>
            </w:r>
          </w:p>
        </w:tc>
        <w:tc>
          <w:tcPr>
            <w:tcW w:w="1420" w:type="dxa"/>
          </w:tcPr>
          <w:p w:rsidR="009B02F4" w:rsidRPr="00556FC3" w:rsidRDefault="00C64DC3" w:rsidP="009B02F4">
            <w:pPr>
              <w:autoSpaceDE w:val="0"/>
              <w:autoSpaceDN w:val="0"/>
              <w:bidi w:val="0"/>
              <w:adjustRightInd w:val="0"/>
              <w:rPr>
                <w:rFonts w:cs="Times-Italic"/>
              </w:rPr>
            </w:pPr>
            <w:r w:rsidRPr="00556FC3">
              <w:rPr>
                <w:rFonts w:cs="Times-Italic"/>
              </w:rPr>
              <w:t>26.2</w:t>
            </w:r>
          </w:p>
        </w:tc>
        <w:tc>
          <w:tcPr>
            <w:tcW w:w="1420" w:type="dxa"/>
          </w:tcPr>
          <w:p w:rsidR="009B02F4" w:rsidRPr="00556FC3" w:rsidRDefault="00C64DC3" w:rsidP="009B02F4">
            <w:pPr>
              <w:autoSpaceDE w:val="0"/>
              <w:autoSpaceDN w:val="0"/>
              <w:bidi w:val="0"/>
              <w:adjustRightInd w:val="0"/>
              <w:rPr>
                <w:rFonts w:cs="Times-Italic"/>
              </w:rPr>
            </w:pPr>
            <w:r w:rsidRPr="00556FC3">
              <w:rPr>
                <w:rFonts w:cs="Times-Italic"/>
              </w:rPr>
              <w:t>27.9</w:t>
            </w:r>
          </w:p>
        </w:tc>
        <w:tc>
          <w:tcPr>
            <w:tcW w:w="1421" w:type="dxa"/>
          </w:tcPr>
          <w:p w:rsidR="009B02F4" w:rsidRPr="00556FC3" w:rsidRDefault="00C64DC3" w:rsidP="009B02F4">
            <w:pPr>
              <w:autoSpaceDE w:val="0"/>
              <w:autoSpaceDN w:val="0"/>
              <w:bidi w:val="0"/>
              <w:adjustRightInd w:val="0"/>
              <w:rPr>
                <w:rFonts w:cs="Times-Italic"/>
              </w:rPr>
            </w:pPr>
            <w:r w:rsidRPr="00556FC3">
              <w:rPr>
                <w:rFonts w:cs="Times-Italic"/>
              </w:rPr>
              <w:t>29.6</w:t>
            </w:r>
          </w:p>
        </w:tc>
        <w:tc>
          <w:tcPr>
            <w:tcW w:w="1421" w:type="dxa"/>
          </w:tcPr>
          <w:p w:rsidR="009B02F4" w:rsidRPr="00556FC3" w:rsidRDefault="00C64DC3" w:rsidP="009B02F4">
            <w:pPr>
              <w:autoSpaceDE w:val="0"/>
              <w:autoSpaceDN w:val="0"/>
              <w:bidi w:val="0"/>
              <w:adjustRightInd w:val="0"/>
              <w:rPr>
                <w:rFonts w:cs="Times-Italic"/>
              </w:rPr>
            </w:pPr>
            <w:r w:rsidRPr="00556FC3">
              <w:rPr>
                <w:rFonts w:cs="Times-Italic"/>
              </w:rPr>
              <w:t>31.0</w:t>
            </w:r>
          </w:p>
        </w:tc>
      </w:tr>
      <w:tr w:rsidR="009B02F4" w:rsidRPr="00556FC3" w:rsidTr="009B02F4">
        <w:tc>
          <w:tcPr>
            <w:tcW w:w="1420" w:type="dxa"/>
          </w:tcPr>
          <w:p w:rsidR="009B02F4" w:rsidRPr="00556FC3" w:rsidRDefault="00C64DC3" w:rsidP="009B02F4">
            <w:pPr>
              <w:autoSpaceDE w:val="0"/>
              <w:autoSpaceDN w:val="0"/>
              <w:bidi w:val="0"/>
              <w:adjustRightInd w:val="0"/>
              <w:rPr>
                <w:rFonts w:cs="Times-Italic"/>
              </w:rPr>
            </w:pPr>
            <w:r w:rsidRPr="00556FC3">
              <w:rPr>
                <w:rFonts w:cs="Times-Italic"/>
              </w:rPr>
              <w:t>65 - 74</w:t>
            </w:r>
          </w:p>
        </w:tc>
        <w:tc>
          <w:tcPr>
            <w:tcW w:w="1420" w:type="dxa"/>
          </w:tcPr>
          <w:p w:rsidR="009B02F4" w:rsidRPr="00556FC3" w:rsidRDefault="00C64DC3" w:rsidP="009B02F4">
            <w:pPr>
              <w:autoSpaceDE w:val="0"/>
              <w:autoSpaceDN w:val="0"/>
              <w:bidi w:val="0"/>
              <w:adjustRightInd w:val="0"/>
              <w:rPr>
                <w:rFonts w:cs="Times-Italic"/>
              </w:rPr>
            </w:pPr>
            <w:r w:rsidRPr="00556FC3">
              <w:rPr>
                <w:rFonts w:cs="Times-Italic"/>
              </w:rPr>
              <w:t>23.7</w:t>
            </w:r>
          </w:p>
        </w:tc>
        <w:tc>
          <w:tcPr>
            <w:tcW w:w="1420" w:type="dxa"/>
          </w:tcPr>
          <w:p w:rsidR="009B02F4" w:rsidRPr="00556FC3" w:rsidRDefault="00C64DC3" w:rsidP="009B02F4">
            <w:pPr>
              <w:autoSpaceDE w:val="0"/>
              <w:autoSpaceDN w:val="0"/>
              <w:bidi w:val="0"/>
              <w:adjustRightInd w:val="0"/>
              <w:rPr>
                <w:rFonts w:cs="Times-Italic"/>
              </w:rPr>
            </w:pPr>
            <w:r w:rsidRPr="00556FC3">
              <w:rPr>
                <w:rFonts w:cs="Times-Italic"/>
              </w:rPr>
              <w:t>25.3</w:t>
            </w:r>
          </w:p>
        </w:tc>
        <w:tc>
          <w:tcPr>
            <w:tcW w:w="1420" w:type="dxa"/>
          </w:tcPr>
          <w:p w:rsidR="009B02F4" w:rsidRPr="00556FC3" w:rsidRDefault="00C64DC3" w:rsidP="009B02F4">
            <w:pPr>
              <w:autoSpaceDE w:val="0"/>
              <w:autoSpaceDN w:val="0"/>
              <w:bidi w:val="0"/>
              <w:adjustRightInd w:val="0"/>
              <w:rPr>
                <w:rFonts w:cs="Times-Italic"/>
              </w:rPr>
            </w:pPr>
            <w:r w:rsidRPr="00556FC3">
              <w:rPr>
                <w:rFonts w:cs="Times-Italic"/>
              </w:rPr>
              <w:t>26.9</w:t>
            </w:r>
          </w:p>
        </w:tc>
        <w:tc>
          <w:tcPr>
            <w:tcW w:w="1421" w:type="dxa"/>
          </w:tcPr>
          <w:p w:rsidR="009B02F4" w:rsidRPr="00556FC3" w:rsidRDefault="00C64DC3" w:rsidP="009B02F4">
            <w:pPr>
              <w:autoSpaceDE w:val="0"/>
              <w:autoSpaceDN w:val="0"/>
              <w:bidi w:val="0"/>
              <w:adjustRightInd w:val="0"/>
              <w:rPr>
                <w:rFonts w:cs="Times-Italic"/>
              </w:rPr>
            </w:pPr>
            <w:r w:rsidRPr="00556FC3">
              <w:rPr>
                <w:rFonts w:cs="Times-Italic"/>
              </w:rPr>
              <w:t>28.5</w:t>
            </w:r>
          </w:p>
        </w:tc>
        <w:tc>
          <w:tcPr>
            <w:tcW w:w="1421" w:type="dxa"/>
          </w:tcPr>
          <w:p w:rsidR="009B02F4" w:rsidRPr="00556FC3" w:rsidRDefault="00C64DC3" w:rsidP="009B02F4">
            <w:pPr>
              <w:autoSpaceDE w:val="0"/>
              <w:autoSpaceDN w:val="0"/>
              <w:bidi w:val="0"/>
              <w:adjustRightInd w:val="0"/>
              <w:rPr>
                <w:rFonts w:cs="Times-Italic"/>
              </w:rPr>
            </w:pPr>
            <w:r w:rsidRPr="00556FC3">
              <w:rPr>
                <w:rFonts w:cs="Times-Italic"/>
              </w:rPr>
              <w:t>29.9</w:t>
            </w:r>
          </w:p>
        </w:tc>
      </w:tr>
    </w:tbl>
    <w:p w:rsidR="009B02F4" w:rsidRPr="00556FC3" w:rsidRDefault="009B02F4" w:rsidP="009B02F4">
      <w:pPr>
        <w:autoSpaceDE w:val="0"/>
        <w:autoSpaceDN w:val="0"/>
        <w:bidi w:val="0"/>
        <w:adjustRightInd w:val="0"/>
        <w:spacing w:after="0" w:line="240" w:lineRule="auto"/>
        <w:rPr>
          <w:rFonts w:cs="Times-Italic"/>
        </w:rPr>
      </w:pPr>
    </w:p>
    <w:p w:rsidR="00C64DC3" w:rsidRPr="00556FC3" w:rsidRDefault="00C64DC3" w:rsidP="00C64DC3">
      <w:pPr>
        <w:autoSpaceDE w:val="0"/>
        <w:autoSpaceDN w:val="0"/>
        <w:bidi w:val="0"/>
        <w:adjustRightInd w:val="0"/>
        <w:spacing w:after="0" w:line="240" w:lineRule="auto"/>
        <w:rPr>
          <w:rFonts w:cs="Times-Italic"/>
        </w:rPr>
      </w:pPr>
      <w:r w:rsidRPr="00556FC3">
        <w:rPr>
          <w:rFonts w:cs="Times-Italic"/>
        </w:rPr>
        <w:t>Females (cm percentile)</w:t>
      </w:r>
    </w:p>
    <w:tbl>
      <w:tblPr>
        <w:tblStyle w:val="a3"/>
        <w:tblW w:w="0" w:type="auto"/>
        <w:tblLook w:val="04A0" w:firstRow="1" w:lastRow="0" w:firstColumn="1" w:lastColumn="0" w:noHBand="0" w:noVBand="1"/>
      </w:tblPr>
      <w:tblGrid>
        <w:gridCol w:w="1420"/>
        <w:gridCol w:w="1420"/>
        <w:gridCol w:w="1420"/>
        <w:gridCol w:w="1420"/>
        <w:gridCol w:w="1421"/>
        <w:gridCol w:w="1421"/>
      </w:tblGrid>
      <w:tr w:rsidR="00C64DC3" w:rsidRPr="00556FC3" w:rsidTr="00285A20">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Age</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10th</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25th</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50th</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75th</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90th</w:t>
            </w:r>
          </w:p>
        </w:tc>
      </w:tr>
      <w:tr w:rsidR="00C64DC3" w:rsidRPr="00556FC3" w:rsidTr="00285A20">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18 - 24</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18.5</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19.4</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20.6</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22.1</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23.6</w:t>
            </w:r>
          </w:p>
        </w:tc>
      </w:tr>
      <w:tr w:rsidR="00C64DC3" w:rsidRPr="00556FC3" w:rsidTr="00285A20">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25 - 34</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18.9</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20</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21.4</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22.9</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24.9</w:t>
            </w:r>
          </w:p>
        </w:tc>
      </w:tr>
      <w:tr w:rsidR="00C64DC3" w:rsidRPr="00556FC3" w:rsidTr="00285A20">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35 - 44</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19.2</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20.6</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22</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24</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26.1</w:t>
            </w:r>
          </w:p>
        </w:tc>
      </w:tr>
      <w:tr w:rsidR="00C64DC3" w:rsidRPr="00556FC3" w:rsidTr="00285A20">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45 - 54</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19.5</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20.7</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22.2</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24.3</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26.6</w:t>
            </w:r>
          </w:p>
        </w:tc>
      </w:tr>
      <w:tr w:rsidR="00C64DC3" w:rsidRPr="00556FC3" w:rsidTr="00285A20">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55 - 64</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19.5</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20.8</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22.6</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24.4</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26.3</w:t>
            </w:r>
          </w:p>
        </w:tc>
      </w:tr>
      <w:tr w:rsidR="00C64DC3" w:rsidRPr="00556FC3" w:rsidTr="00285A20">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65 - 74</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19.5</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20.8</w:t>
            </w:r>
          </w:p>
        </w:tc>
        <w:tc>
          <w:tcPr>
            <w:tcW w:w="1420" w:type="dxa"/>
          </w:tcPr>
          <w:p w:rsidR="00C64DC3" w:rsidRPr="00556FC3" w:rsidRDefault="00C64DC3" w:rsidP="00285A20">
            <w:pPr>
              <w:autoSpaceDE w:val="0"/>
              <w:autoSpaceDN w:val="0"/>
              <w:bidi w:val="0"/>
              <w:adjustRightInd w:val="0"/>
              <w:rPr>
                <w:rFonts w:cs="Times-Italic"/>
              </w:rPr>
            </w:pPr>
            <w:r w:rsidRPr="00556FC3">
              <w:rPr>
                <w:rFonts w:cs="Times-Italic"/>
              </w:rPr>
              <w:t>22.5</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24.4</w:t>
            </w:r>
          </w:p>
        </w:tc>
        <w:tc>
          <w:tcPr>
            <w:tcW w:w="1421" w:type="dxa"/>
          </w:tcPr>
          <w:p w:rsidR="00C64DC3" w:rsidRPr="00556FC3" w:rsidRDefault="00C64DC3" w:rsidP="00285A20">
            <w:pPr>
              <w:autoSpaceDE w:val="0"/>
              <w:autoSpaceDN w:val="0"/>
              <w:bidi w:val="0"/>
              <w:adjustRightInd w:val="0"/>
              <w:rPr>
                <w:rFonts w:cs="Times-Italic"/>
              </w:rPr>
            </w:pPr>
            <w:r w:rsidRPr="00556FC3">
              <w:rPr>
                <w:rFonts w:cs="Times-Italic"/>
              </w:rPr>
              <w:t>26.5</w:t>
            </w:r>
          </w:p>
        </w:tc>
      </w:tr>
    </w:tbl>
    <w:p w:rsidR="00BF67D9" w:rsidRPr="00556FC3" w:rsidRDefault="00C64DC3" w:rsidP="00E631BC">
      <w:pPr>
        <w:bidi w:val="0"/>
        <w:spacing w:before="100" w:beforeAutospacing="1" w:after="100" w:afterAutospacing="1" w:line="240" w:lineRule="atLeast"/>
        <w:rPr>
          <w:rFonts w:cs="Times-Italic"/>
          <w:i/>
          <w:iCs/>
        </w:rPr>
      </w:pPr>
      <w:r w:rsidRPr="00556FC3">
        <w:rPr>
          <w:rFonts w:cs="Times-Italic"/>
        </w:rPr>
        <w:t>Developed from data collected during the NHANES I</w:t>
      </w:r>
      <w:r w:rsidR="00E631BC">
        <w:rPr>
          <w:rFonts w:cs="Times-Italic"/>
        </w:rPr>
        <w:t xml:space="preserve">, 1974. </w:t>
      </w:r>
      <w:r w:rsidR="00150722" w:rsidRPr="00556FC3">
        <w:rPr>
          <w:rFonts w:eastAsia="Times New Roman" w:cs="Arial"/>
          <w:color w:val="000000"/>
        </w:rPr>
        <w:t>Bishop, C.W., et al., 1981.</w:t>
      </w:r>
      <w:r w:rsidR="0085731D" w:rsidRPr="00556FC3">
        <w:rPr>
          <w:rFonts w:eastAsia="Times New Roman" w:cs="Arial"/>
          <w:color w:val="000000"/>
        </w:rPr>
        <w:t xml:space="preserve">  </w:t>
      </w:r>
    </w:p>
    <w:p w:rsidR="00434754" w:rsidRDefault="00434754" w:rsidP="00E428DD">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434754" w:rsidRDefault="00434754" w:rsidP="00434754">
      <w:pPr>
        <w:autoSpaceDE w:val="0"/>
        <w:autoSpaceDN w:val="0"/>
        <w:bidi w:val="0"/>
        <w:adjustRightInd w:val="0"/>
        <w:spacing w:after="0" w:line="240" w:lineRule="auto"/>
        <w:rPr>
          <w:rFonts w:cs="Times-Italic"/>
          <w:i/>
          <w:iCs/>
        </w:rPr>
      </w:pPr>
    </w:p>
    <w:p w:rsidR="00EE18AE" w:rsidRPr="00556FC3" w:rsidRDefault="00EE18AE" w:rsidP="00434754">
      <w:pPr>
        <w:autoSpaceDE w:val="0"/>
        <w:autoSpaceDN w:val="0"/>
        <w:bidi w:val="0"/>
        <w:adjustRightInd w:val="0"/>
        <w:spacing w:after="0" w:line="240" w:lineRule="auto"/>
        <w:rPr>
          <w:rFonts w:cs="Times-Italic"/>
          <w:i/>
          <w:iCs/>
        </w:rPr>
      </w:pPr>
      <w:r w:rsidRPr="00556FC3">
        <w:rPr>
          <w:rFonts w:cs="Times-Italic"/>
          <w:i/>
          <w:iCs/>
        </w:rPr>
        <w:lastRenderedPageBreak/>
        <w:t>Statistical analysis</w:t>
      </w:r>
    </w:p>
    <w:p w:rsidR="00186708" w:rsidRDefault="00186708" w:rsidP="008637D4">
      <w:pPr>
        <w:bidi w:val="0"/>
        <w:spacing w:before="240" w:line="360" w:lineRule="auto"/>
        <w:jc w:val="both"/>
        <w:rPr>
          <w:rFonts w:ascii="Book Antiqua" w:hAnsi="Book Antiqua"/>
          <w:lang w:bidi="ar-EG"/>
        </w:rPr>
      </w:pPr>
      <w:r w:rsidRPr="0086650C">
        <w:rPr>
          <w:rFonts w:ascii="Book Antiqua" w:hAnsi="Book Antiqua"/>
          <w:lang w:bidi="ar-EG"/>
        </w:rPr>
        <w:t xml:space="preserve"> </w:t>
      </w:r>
      <w:r>
        <w:rPr>
          <w:rFonts w:ascii="Book Antiqua" w:hAnsi="Book Antiqua"/>
          <w:lang w:bidi="ar-EG"/>
        </w:rPr>
        <w:t>D</w:t>
      </w:r>
      <w:r w:rsidRPr="0086650C">
        <w:rPr>
          <w:rFonts w:ascii="Book Antiqua" w:hAnsi="Book Antiqua"/>
          <w:lang w:bidi="ar-EG"/>
        </w:rPr>
        <w:t>emographic,</w:t>
      </w:r>
      <w:r w:rsidR="002B06C6">
        <w:rPr>
          <w:rFonts w:ascii="Book Antiqua" w:hAnsi="Book Antiqua"/>
          <w:lang w:bidi="ar-EG"/>
        </w:rPr>
        <w:t xml:space="preserve"> nutritional parameters, nationality and cause of admission </w:t>
      </w:r>
      <w:r w:rsidRPr="0086650C">
        <w:rPr>
          <w:rFonts w:ascii="Book Antiqua" w:hAnsi="Book Antiqua"/>
          <w:lang w:bidi="ar-EG"/>
        </w:rPr>
        <w:t>data were c</w:t>
      </w:r>
      <w:r>
        <w:rPr>
          <w:rFonts w:ascii="Book Antiqua" w:hAnsi="Book Antiqua"/>
          <w:lang w:bidi="ar-EG"/>
        </w:rPr>
        <w:t>ollected. IBM SPSS Statistics 17</w:t>
      </w:r>
      <w:r w:rsidRPr="0086650C">
        <w:rPr>
          <w:rFonts w:ascii="Book Antiqua" w:hAnsi="Book Antiqua"/>
          <w:lang w:bidi="ar-EG"/>
        </w:rPr>
        <w:t xml:space="preserve"> program was used for data analysis. Dichotomous or categorical variables were presented as number and percentage. Continuous variables were presented as mean ± standard deviation. Univariate analysis by using Pearson Chi square test </w:t>
      </w:r>
      <w:r>
        <w:rPr>
          <w:rFonts w:ascii="Book Antiqua" w:hAnsi="Book Antiqua"/>
          <w:lang w:bidi="ar-EG"/>
        </w:rPr>
        <w:t xml:space="preserve">was used </w:t>
      </w:r>
      <w:r w:rsidRPr="0086650C">
        <w:rPr>
          <w:rFonts w:ascii="Book Antiqua" w:hAnsi="Book Antiqua"/>
          <w:lang w:bidi="ar-EG"/>
        </w:rPr>
        <w:t>to compare dichotomous or categorical variables</w:t>
      </w:r>
      <w:r>
        <w:rPr>
          <w:rFonts w:ascii="Book Antiqua" w:hAnsi="Book Antiqua"/>
          <w:lang w:bidi="ar-EG"/>
        </w:rPr>
        <w:t>, and two tailed t test for continuous variables.</w:t>
      </w:r>
      <w:r w:rsidR="00E428DD" w:rsidRPr="00E428DD">
        <w:rPr>
          <w:rFonts w:cs="Times-Roman"/>
        </w:rPr>
        <w:t xml:space="preserve"> </w:t>
      </w:r>
      <w:r w:rsidR="00E428DD" w:rsidRPr="00556FC3">
        <w:rPr>
          <w:rFonts w:cs="Times-Roman"/>
        </w:rPr>
        <w:t>Dichotomous variables considered to be risk factors for longer length (undernutrition, age, gende</w:t>
      </w:r>
      <w:r w:rsidR="00E428DD">
        <w:rPr>
          <w:rFonts w:cs="Times-Roman"/>
        </w:rPr>
        <w:t xml:space="preserve">r and </w:t>
      </w:r>
      <w:r w:rsidR="00E428DD" w:rsidRPr="00556FC3">
        <w:rPr>
          <w:rFonts w:cs="Times-Roman"/>
        </w:rPr>
        <w:t xml:space="preserve">anthropometric variables were analyzed using a logistic regression model. </w:t>
      </w:r>
      <w:r w:rsidRPr="0086650C">
        <w:rPr>
          <w:rFonts w:ascii="Book Antiqua" w:hAnsi="Book Antiqua"/>
          <w:lang w:bidi="ar-EG"/>
        </w:rPr>
        <w:t xml:space="preserve"> </w:t>
      </w:r>
      <w:r>
        <w:rPr>
          <w:rFonts w:ascii="Book Antiqua" w:hAnsi="Book Antiqua"/>
          <w:lang w:bidi="ar-EG"/>
        </w:rPr>
        <w:t xml:space="preserve"> </w:t>
      </w:r>
      <w:r w:rsidRPr="0086650C">
        <w:rPr>
          <w:rFonts w:ascii="Book Antiqua" w:hAnsi="Book Antiqua"/>
          <w:lang w:bidi="ar-EG"/>
        </w:rPr>
        <w:t>Significance was considered at P value 0.05 or less.</w:t>
      </w:r>
    </w:p>
    <w:p w:rsidR="0050741C" w:rsidRPr="00556FC3" w:rsidRDefault="0050741C" w:rsidP="0050741C">
      <w:pPr>
        <w:autoSpaceDE w:val="0"/>
        <w:autoSpaceDN w:val="0"/>
        <w:bidi w:val="0"/>
        <w:adjustRightInd w:val="0"/>
        <w:spacing w:after="0" w:line="240" w:lineRule="auto"/>
        <w:rPr>
          <w:rFonts w:cs="Times-Roman"/>
        </w:rPr>
      </w:pPr>
    </w:p>
    <w:p w:rsidR="0050741C" w:rsidRPr="00556FC3" w:rsidRDefault="0050741C" w:rsidP="0050741C">
      <w:pPr>
        <w:autoSpaceDE w:val="0"/>
        <w:autoSpaceDN w:val="0"/>
        <w:bidi w:val="0"/>
        <w:adjustRightInd w:val="0"/>
        <w:spacing w:after="0" w:line="240" w:lineRule="auto"/>
        <w:rPr>
          <w:rFonts w:cs="Times-Roman"/>
        </w:rPr>
      </w:pPr>
    </w:p>
    <w:p w:rsidR="0050741C" w:rsidRPr="00556FC3" w:rsidRDefault="0050741C" w:rsidP="0050741C">
      <w:pPr>
        <w:autoSpaceDE w:val="0"/>
        <w:autoSpaceDN w:val="0"/>
        <w:bidi w:val="0"/>
        <w:adjustRightInd w:val="0"/>
        <w:spacing w:after="0" w:line="240" w:lineRule="auto"/>
        <w:rPr>
          <w:rFonts w:cs="Times-Roman"/>
        </w:rPr>
      </w:pPr>
    </w:p>
    <w:p w:rsidR="008E2C7F" w:rsidRDefault="008E2C7F" w:rsidP="008E2C7F">
      <w:pPr>
        <w:autoSpaceDE w:val="0"/>
        <w:autoSpaceDN w:val="0"/>
        <w:bidi w:val="0"/>
        <w:adjustRightInd w:val="0"/>
        <w:spacing w:after="0" w:line="240" w:lineRule="auto"/>
        <w:rPr>
          <w:rFonts w:cs="Times-Roman"/>
        </w:rPr>
      </w:pPr>
    </w:p>
    <w:p w:rsidR="008E2C7F" w:rsidRDefault="008E2C7F" w:rsidP="008E2C7F">
      <w:pPr>
        <w:autoSpaceDE w:val="0"/>
        <w:autoSpaceDN w:val="0"/>
        <w:bidi w:val="0"/>
        <w:adjustRightInd w:val="0"/>
        <w:spacing w:after="0" w:line="240" w:lineRule="auto"/>
        <w:rPr>
          <w:rFonts w:cs="Times-Roman"/>
        </w:rPr>
      </w:pPr>
    </w:p>
    <w:p w:rsidR="008E2C7F" w:rsidRDefault="008E2C7F" w:rsidP="008E2C7F">
      <w:pPr>
        <w:autoSpaceDE w:val="0"/>
        <w:autoSpaceDN w:val="0"/>
        <w:bidi w:val="0"/>
        <w:adjustRightInd w:val="0"/>
        <w:spacing w:after="0" w:line="240" w:lineRule="auto"/>
        <w:rPr>
          <w:rFonts w:cs="Times-Roman"/>
        </w:rPr>
      </w:pPr>
    </w:p>
    <w:p w:rsidR="008E2C7F" w:rsidRDefault="008E2C7F" w:rsidP="008E2C7F">
      <w:pPr>
        <w:autoSpaceDE w:val="0"/>
        <w:autoSpaceDN w:val="0"/>
        <w:bidi w:val="0"/>
        <w:adjustRightInd w:val="0"/>
        <w:spacing w:after="0" w:line="240" w:lineRule="auto"/>
        <w:rPr>
          <w:rFonts w:cs="Times-Roman"/>
        </w:rPr>
      </w:pPr>
    </w:p>
    <w:p w:rsidR="008E2C7F" w:rsidRDefault="008E2C7F" w:rsidP="008E2C7F">
      <w:pPr>
        <w:autoSpaceDE w:val="0"/>
        <w:autoSpaceDN w:val="0"/>
        <w:bidi w:val="0"/>
        <w:adjustRightInd w:val="0"/>
        <w:spacing w:after="0" w:line="240" w:lineRule="auto"/>
        <w:rPr>
          <w:rFonts w:cs="Times-Roman"/>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Default="008D1D5A" w:rsidP="008D1D5A">
      <w:pPr>
        <w:autoSpaceDE w:val="0"/>
        <w:autoSpaceDN w:val="0"/>
        <w:bidi w:val="0"/>
        <w:adjustRightInd w:val="0"/>
        <w:spacing w:after="0" w:line="240" w:lineRule="auto"/>
        <w:jc w:val="center"/>
        <w:rPr>
          <w:rFonts w:ascii="Arial" w:hAnsi="Arial" w:cs="Arial"/>
          <w:b/>
          <w:bCs/>
          <w:color w:val="000000"/>
          <w:sz w:val="18"/>
          <w:szCs w:val="18"/>
        </w:rPr>
      </w:pPr>
    </w:p>
    <w:p w:rsidR="008D1D5A" w:rsidRPr="00E428DD" w:rsidRDefault="008D1D5A" w:rsidP="00122DB6">
      <w:pPr>
        <w:autoSpaceDE w:val="0"/>
        <w:autoSpaceDN w:val="0"/>
        <w:bidi w:val="0"/>
        <w:adjustRightInd w:val="0"/>
        <w:spacing w:after="0" w:line="240" w:lineRule="auto"/>
        <w:jc w:val="center"/>
        <w:rPr>
          <w:rFonts w:cs="Times-Roman"/>
          <w:b/>
          <w:bCs/>
          <w:sz w:val="36"/>
          <w:szCs w:val="30"/>
        </w:rPr>
      </w:pPr>
      <w:r w:rsidRPr="00E428DD">
        <w:rPr>
          <w:rFonts w:cs="Times-Roman"/>
          <w:b/>
          <w:bCs/>
          <w:sz w:val="36"/>
          <w:szCs w:val="30"/>
        </w:rPr>
        <w:lastRenderedPageBreak/>
        <w:t>Results</w:t>
      </w:r>
    </w:p>
    <w:p w:rsidR="008D1D5A" w:rsidRPr="00556FC3" w:rsidRDefault="008D1D5A" w:rsidP="008D1D5A">
      <w:pPr>
        <w:autoSpaceDE w:val="0"/>
        <w:autoSpaceDN w:val="0"/>
        <w:bidi w:val="0"/>
        <w:adjustRightInd w:val="0"/>
        <w:spacing w:after="0" w:line="240" w:lineRule="auto"/>
        <w:rPr>
          <w:rFonts w:cs="Times-Roman"/>
        </w:rPr>
      </w:pPr>
    </w:p>
    <w:p w:rsidR="008D1D5A" w:rsidRDefault="00434754" w:rsidP="00836344">
      <w:pPr>
        <w:autoSpaceDE w:val="0"/>
        <w:autoSpaceDN w:val="0"/>
        <w:bidi w:val="0"/>
        <w:adjustRightInd w:val="0"/>
        <w:spacing w:after="0" w:line="240" w:lineRule="auto"/>
        <w:rPr>
          <w:rFonts w:cs="Times-Roman"/>
        </w:rPr>
      </w:pPr>
      <w:r>
        <w:t xml:space="preserve"> </w:t>
      </w:r>
      <w:r>
        <w:tab/>
      </w:r>
      <w:r w:rsidR="008D1D5A" w:rsidRPr="00556FC3">
        <w:t>The aim of the study was to assess the demographic character</w:t>
      </w:r>
      <w:r w:rsidR="008D1D5A">
        <w:t>s</w:t>
      </w:r>
      <w:r w:rsidR="008D1D5A" w:rsidRPr="00556FC3">
        <w:t xml:space="preserve"> and nutritional status of Hajj patients admitted at the medical department and its relation to the cause of admission and hospital </w:t>
      </w:r>
      <w:r w:rsidR="008D1D5A">
        <w:t>l</w:t>
      </w:r>
      <w:r w:rsidR="008D1D5A" w:rsidRPr="00556FC3">
        <w:t xml:space="preserve">ength of </w:t>
      </w:r>
      <w:r w:rsidR="008D1D5A">
        <w:t>s</w:t>
      </w:r>
      <w:r w:rsidR="008D1D5A" w:rsidRPr="00556FC3">
        <w:t>tay</w:t>
      </w:r>
      <w:r w:rsidR="008D1D5A">
        <w:t>. This</w:t>
      </w:r>
      <w:r w:rsidR="008D1D5A" w:rsidRPr="00556FC3">
        <w:t xml:space="preserve"> may help the local health providers in their health planes during hajj season. </w:t>
      </w:r>
      <w:r w:rsidR="008D1D5A" w:rsidRPr="00556FC3">
        <w:rPr>
          <w:rFonts w:cs="MyriadPro-Regular"/>
        </w:rPr>
        <w:t>One hundred sixty three patients from 34 countries were admitted at the medical department during the hajj season</w:t>
      </w:r>
      <w:r w:rsidR="008D1D5A">
        <w:rPr>
          <w:rFonts w:cs="MyriadPro-Regular"/>
        </w:rPr>
        <w:t xml:space="preserve"> </w:t>
      </w:r>
      <w:r w:rsidR="008D1D5A" w:rsidRPr="00556FC3">
        <w:rPr>
          <w:rFonts w:cs="MyriadPro-Regular"/>
        </w:rPr>
        <w:t>1430</w:t>
      </w:r>
      <w:r w:rsidR="008D1D5A" w:rsidRPr="0048517A">
        <w:t xml:space="preserve"> </w:t>
      </w:r>
      <w:r w:rsidR="008D1D5A">
        <w:t>(</w:t>
      </w:r>
      <w:r w:rsidR="008D1D5A">
        <w:rPr>
          <w:rFonts w:cs="MyriadPro-Regular"/>
        </w:rPr>
        <w:t>1</w:t>
      </w:r>
      <w:r w:rsidR="008D1D5A" w:rsidRPr="0048517A">
        <w:rPr>
          <w:rFonts w:cs="MyriadPro-Regular"/>
        </w:rPr>
        <w:t xml:space="preserve"> to </w:t>
      </w:r>
      <w:r w:rsidR="008D1D5A">
        <w:rPr>
          <w:rFonts w:cs="MyriadPro-Regular"/>
        </w:rPr>
        <w:t>15</w:t>
      </w:r>
      <w:r w:rsidR="008D1D5A" w:rsidRPr="0048517A">
        <w:rPr>
          <w:rFonts w:cs="MyriadPro-Regular"/>
        </w:rPr>
        <w:t>/12/1430 H – 18</w:t>
      </w:r>
      <w:r w:rsidR="008D1D5A">
        <w:rPr>
          <w:rFonts w:cs="MyriadPro-Regular"/>
        </w:rPr>
        <w:t>/11</w:t>
      </w:r>
      <w:r w:rsidR="008D1D5A" w:rsidRPr="0048517A">
        <w:rPr>
          <w:rFonts w:cs="MyriadPro-Regular"/>
        </w:rPr>
        <w:t xml:space="preserve"> to </w:t>
      </w:r>
      <w:r w:rsidR="008D1D5A">
        <w:rPr>
          <w:rFonts w:cs="MyriadPro-Regular"/>
        </w:rPr>
        <w:t>2</w:t>
      </w:r>
      <w:r w:rsidR="008D1D5A" w:rsidRPr="0048517A">
        <w:rPr>
          <w:rFonts w:cs="MyriadPro-Regular"/>
        </w:rPr>
        <w:t>/12/2009</w:t>
      </w:r>
      <w:r w:rsidR="008D1D5A">
        <w:t>)</w:t>
      </w:r>
      <w:r w:rsidR="008D1D5A" w:rsidRPr="00556FC3">
        <w:t>.</w:t>
      </w:r>
      <w:r w:rsidR="008D1D5A" w:rsidRPr="00861D22">
        <w:t xml:space="preserve"> </w:t>
      </w:r>
      <w:r w:rsidR="008D1D5A" w:rsidRPr="00861D22">
        <w:rPr>
          <w:rFonts w:cs="Times-Roman"/>
        </w:rPr>
        <w:t>The mean age of patients was 59.4 ± 11 yrs., and 57.7% of patients were males</w:t>
      </w:r>
      <w:r w:rsidR="008D1D5A">
        <w:rPr>
          <w:rFonts w:cs="Times-Roman"/>
        </w:rPr>
        <w:t xml:space="preserve">. More than half of the patients (52.1%) were old age patients (age </w:t>
      </w:r>
      <w:r w:rsidR="008D1D5A">
        <w:rPr>
          <w:rFonts w:cs="Times-Roman" w:hint="cs"/>
        </w:rPr>
        <w:t>≥</w:t>
      </w:r>
      <w:r w:rsidR="008D1D5A">
        <w:rPr>
          <w:rFonts w:cs="Times-Roman"/>
        </w:rPr>
        <w:t xml:space="preserve"> 60 yrs.).  Mean BMI was 23.8 ± 5.6 kg/m</w:t>
      </w:r>
      <w:r w:rsidR="008D1D5A">
        <w:rPr>
          <w:rFonts w:cs="Times-Roman"/>
          <w:vertAlign w:val="superscript"/>
        </w:rPr>
        <w:t>2</w:t>
      </w:r>
      <w:r w:rsidR="008D1D5A" w:rsidRPr="00861D22">
        <w:rPr>
          <w:rFonts w:cs="Times-Roman"/>
        </w:rPr>
        <w:t>).</w:t>
      </w:r>
      <w:r w:rsidR="008D1D5A" w:rsidRPr="000D575A">
        <w:t xml:space="preserve"> </w:t>
      </w:r>
      <w:r w:rsidR="008D1D5A" w:rsidRPr="000D575A">
        <w:rPr>
          <w:rFonts w:cs="Times-Roman"/>
        </w:rPr>
        <w:t>No significant difference</w:t>
      </w:r>
      <w:r w:rsidR="008D1D5A">
        <w:rPr>
          <w:rFonts w:cs="Times-Roman"/>
        </w:rPr>
        <w:t xml:space="preserve"> was found</w:t>
      </w:r>
      <w:r w:rsidR="008D1D5A" w:rsidRPr="000D575A">
        <w:rPr>
          <w:rFonts w:cs="Times-Roman"/>
        </w:rPr>
        <w:t xml:space="preserve"> between male and female patients in different nutrition states (p 0.245)</w:t>
      </w:r>
      <w:r w:rsidR="008D1D5A" w:rsidRPr="00861D22">
        <w:rPr>
          <w:rFonts w:cs="Times-Roman"/>
        </w:rPr>
        <w:t xml:space="preserve"> The mean HLOS was 3.9±2.47 days and prolonged HLOS (more than 5 days) was reported in </w:t>
      </w:r>
      <w:r w:rsidR="008D1D5A">
        <w:rPr>
          <w:rFonts w:cs="Times-Roman"/>
        </w:rPr>
        <w:t>21 patients (</w:t>
      </w:r>
      <w:r w:rsidR="008D1D5A" w:rsidRPr="00861D22">
        <w:rPr>
          <w:rFonts w:cs="Times-Roman"/>
        </w:rPr>
        <w:t>17.8%</w:t>
      </w:r>
      <w:r w:rsidR="008D1D5A">
        <w:rPr>
          <w:rFonts w:cs="Times-Roman"/>
        </w:rPr>
        <w:t>)</w:t>
      </w:r>
      <w:r w:rsidR="008D1D5A" w:rsidRPr="00861D22">
        <w:rPr>
          <w:rFonts w:cs="Times-Roman"/>
        </w:rPr>
        <w:t>.</w:t>
      </w:r>
      <w:r w:rsidR="008D1D5A" w:rsidRPr="00153B16">
        <w:t xml:space="preserve"> </w:t>
      </w:r>
      <w:r w:rsidR="008D1D5A" w:rsidRPr="00153B16">
        <w:rPr>
          <w:rFonts w:cs="Times-Roman"/>
        </w:rPr>
        <w:t>HLOS is</w:t>
      </w:r>
      <w:r w:rsidR="00836344">
        <w:rPr>
          <w:rFonts w:cs="Times-Roman"/>
        </w:rPr>
        <w:t xml:space="preserve"> prolonged in obese patients but not reaching the level of significance</w:t>
      </w:r>
      <w:r w:rsidR="008D1D5A" w:rsidRPr="00153B16">
        <w:rPr>
          <w:rFonts w:cs="Times-Roman"/>
        </w:rPr>
        <w:t xml:space="preserve">.  </w:t>
      </w:r>
      <w:r w:rsidR="008D1D5A">
        <w:rPr>
          <w:rFonts w:cs="Times-Roman"/>
        </w:rPr>
        <w:t xml:space="preserve">Respiratory diseases are the commonest cause of admission (44.2%). Under-nutrition was detected in 39 patients (23.9%), thirty three of them were elderly patients (84.6%). </w:t>
      </w:r>
    </w:p>
    <w:p w:rsidR="008D1D5A" w:rsidRDefault="008D1D5A" w:rsidP="008D1D5A">
      <w:pPr>
        <w:autoSpaceDE w:val="0"/>
        <w:autoSpaceDN w:val="0"/>
        <w:bidi w:val="0"/>
        <w:adjustRightInd w:val="0"/>
        <w:spacing w:after="0" w:line="240" w:lineRule="auto"/>
        <w:rPr>
          <w:rFonts w:cs="Times-Roman"/>
        </w:rPr>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r>
        <w:lastRenderedPageBreak/>
        <w:t>Fig (1): General parameters of pilgrims admitted to the medical floor:</w:t>
      </w:r>
    </w:p>
    <w:p w:rsidR="008D1D5A" w:rsidRDefault="008D1D5A" w:rsidP="008D1D5A">
      <w:pPr>
        <w:bidi w:val="0"/>
      </w:pPr>
      <w:r w:rsidRPr="00C034DD">
        <w:rPr>
          <w:noProof/>
        </w:rPr>
        <w:drawing>
          <wp:inline distT="0" distB="0" distL="0" distR="0" wp14:anchorId="01F66EF7" wp14:editId="660BB658">
            <wp:extent cx="4572000" cy="3457575"/>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r>
        <w:lastRenderedPageBreak/>
        <w:t>Figure (2) Nutritional status of Hajj patients admitted to the medical department:</w:t>
      </w:r>
    </w:p>
    <w:p w:rsidR="008D1D5A" w:rsidRDefault="008D1D5A" w:rsidP="008D1D5A">
      <w:pPr>
        <w:bidi w:val="0"/>
      </w:pPr>
      <w:r w:rsidRPr="006F6431">
        <w:rPr>
          <w:noProof/>
        </w:rPr>
        <w:drawing>
          <wp:inline distT="0" distB="0" distL="0" distR="0" wp14:anchorId="6A5F4C26" wp14:editId="64F93A26">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r>
        <w:lastRenderedPageBreak/>
        <w:t>Figure (3) cause of admission of hajj patients admitted to the medical department.</w:t>
      </w:r>
    </w:p>
    <w:p w:rsidR="008D1D5A" w:rsidRDefault="008D1D5A" w:rsidP="008D1D5A">
      <w:pPr>
        <w:bidi w:val="0"/>
      </w:pPr>
      <w:r w:rsidRPr="006F6431">
        <w:rPr>
          <w:noProof/>
        </w:rPr>
        <w:drawing>
          <wp:inline distT="0" distB="0" distL="0" distR="0" wp14:anchorId="4838B6AB" wp14:editId="42C4A96B">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r>
        <w:lastRenderedPageBreak/>
        <w:t>Figure (4): Nationality of Hajji patients admitted in the medical department</w:t>
      </w:r>
    </w:p>
    <w:p w:rsidR="008D1D5A" w:rsidRDefault="008D1D5A" w:rsidP="008D1D5A">
      <w:pPr>
        <w:bidi w:val="0"/>
      </w:pPr>
      <w:r w:rsidRPr="00141AC2">
        <w:rPr>
          <w:noProof/>
        </w:rPr>
        <w:drawing>
          <wp:inline distT="0" distB="0" distL="0" distR="0" wp14:anchorId="0DA44BE9" wp14:editId="7300DB8B">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pPr>
    </w:p>
    <w:p w:rsidR="008D1D5A" w:rsidRDefault="008D1D5A" w:rsidP="008D1D5A">
      <w:pPr>
        <w:bidi w:val="0"/>
        <w:ind w:left="720"/>
      </w:pPr>
      <w:r>
        <w:lastRenderedPageBreak/>
        <w:t xml:space="preserve">Table (1): Comparison between patients according to their Nutritional states  </w:t>
      </w:r>
    </w:p>
    <w:tbl>
      <w:tblPr>
        <w:tblStyle w:val="a3"/>
        <w:tblW w:w="0" w:type="auto"/>
        <w:tblLook w:val="04A0" w:firstRow="1" w:lastRow="0" w:firstColumn="1" w:lastColumn="0" w:noHBand="0" w:noVBand="1"/>
      </w:tblPr>
      <w:tblGrid>
        <w:gridCol w:w="1728"/>
        <w:gridCol w:w="1563"/>
        <w:gridCol w:w="1339"/>
        <w:gridCol w:w="1355"/>
        <w:gridCol w:w="1335"/>
        <w:gridCol w:w="1202"/>
      </w:tblGrid>
      <w:tr w:rsidR="008D1D5A" w:rsidTr="00C66C56">
        <w:tc>
          <w:tcPr>
            <w:tcW w:w="1728" w:type="dxa"/>
          </w:tcPr>
          <w:p w:rsidR="008D1D5A" w:rsidRDefault="008D1D5A" w:rsidP="00C66C56">
            <w:pPr>
              <w:bidi w:val="0"/>
            </w:pPr>
          </w:p>
        </w:tc>
        <w:tc>
          <w:tcPr>
            <w:tcW w:w="1563" w:type="dxa"/>
          </w:tcPr>
          <w:p w:rsidR="008D1D5A" w:rsidRDefault="008D1D5A" w:rsidP="00C66C56">
            <w:pPr>
              <w:bidi w:val="0"/>
            </w:pPr>
            <w:proofErr w:type="spellStart"/>
            <w:r>
              <w:t>Undernutrition</w:t>
            </w:r>
            <w:proofErr w:type="spellEnd"/>
            <w:r>
              <w:t xml:space="preserve"> (39 </w:t>
            </w:r>
            <w:proofErr w:type="spellStart"/>
            <w:r>
              <w:t>pt</w:t>
            </w:r>
            <w:proofErr w:type="spellEnd"/>
            <w:r>
              <w:t>) 23.9%</w:t>
            </w:r>
          </w:p>
          <w:p w:rsidR="008D1D5A" w:rsidRDefault="008D1D5A" w:rsidP="00C66C56">
            <w:pPr>
              <w:bidi w:val="0"/>
            </w:pPr>
          </w:p>
        </w:tc>
        <w:tc>
          <w:tcPr>
            <w:tcW w:w="1339" w:type="dxa"/>
          </w:tcPr>
          <w:p w:rsidR="008D1D5A" w:rsidRDefault="008D1D5A" w:rsidP="00C66C56">
            <w:pPr>
              <w:bidi w:val="0"/>
            </w:pPr>
            <w:r>
              <w:t xml:space="preserve">Normal (74 </w:t>
            </w:r>
            <w:proofErr w:type="spellStart"/>
            <w:r>
              <w:t>pt</w:t>
            </w:r>
            <w:proofErr w:type="spellEnd"/>
            <w:r>
              <w:t>) 45.4%</w:t>
            </w:r>
          </w:p>
        </w:tc>
        <w:tc>
          <w:tcPr>
            <w:tcW w:w="1355" w:type="dxa"/>
          </w:tcPr>
          <w:p w:rsidR="008D1D5A" w:rsidRDefault="008D1D5A" w:rsidP="00C66C56">
            <w:pPr>
              <w:bidi w:val="0"/>
            </w:pPr>
            <w:r>
              <w:t>Overweight (29pt)17.8%</w:t>
            </w:r>
          </w:p>
        </w:tc>
        <w:tc>
          <w:tcPr>
            <w:tcW w:w="1335" w:type="dxa"/>
          </w:tcPr>
          <w:p w:rsidR="008D1D5A" w:rsidRDefault="008D1D5A" w:rsidP="00C66C56">
            <w:pPr>
              <w:bidi w:val="0"/>
            </w:pPr>
            <w:r>
              <w:t xml:space="preserve">Obese (21 </w:t>
            </w:r>
            <w:proofErr w:type="spellStart"/>
            <w:r>
              <w:t>pt</w:t>
            </w:r>
            <w:proofErr w:type="spellEnd"/>
            <w:r>
              <w:t>)12.9%</w:t>
            </w:r>
          </w:p>
        </w:tc>
        <w:tc>
          <w:tcPr>
            <w:tcW w:w="1202" w:type="dxa"/>
          </w:tcPr>
          <w:p w:rsidR="008D1D5A" w:rsidRDefault="008D1D5A" w:rsidP="00C66C56">
            <w:pPr>
              <w:bidi w:val="0"/>
            </w:pPr>
            <w:r>
              <w:t xml:space="preserve">Pearson chi square </w:t>
            </w:r>
          </w:p>
          <w:p w:rsidR="008D1D5A" w:rsidRDefault="008D1D5A" w:rsidP="00C66C56">
            <w:pPr>
              <w:bidi w:val="0"/>
            </w:pPr>
            <w:r>
              <w:t>P value</w:t>
            </w:r>
          </w:p>
        </w:tc>
      </w:tr>
      <w:tr w:rsidR="008D1D5A" w:rsidTr="00C66C56">
        <w:tc>
          <w:tcPr>
            <w:tcW w:w="1728" w:type="dxa"/>
          </w:tcPr>
          <w:p w:rsidR="008D1D5A" w:rsidRDefault="008D1D5A" w:rsidP="00C66C56">
            <w:pPr>
              <w:bidi w:val="0"/>
            </w:pPr>
            <w:r>
              <w:t>Age (</w:t>
            </w:r>
            <w:proofErr w:type="spellStart"/>
            <w:r>
              <w:t>yr</w:t>
            </w:r>
            <w:proofErr w:type="spellEnd"/>
            <w:r>
              <w:t>) (m</w:t>
            </w:r>
            <w:r>
              <w:rPr>
                <w:rFonts w:ascii="Arial" w:hAnsi="Arial" w:cs="Arial"/>
                <w:color w:val="000000"/>
                <w:sz w:val="18"/>
                <w:szCs w:val="18"/>
              </w:rPr>
              <w:t xml:space="preserve"> ± std</w:t>
            </w:r>
            <w:r w:rsidRPr="00990587">
              <w:rPr>
                <w:rFonts w:ascii="Arial" w:hAnsi="Arial" w:cs="Arial"/>
                <w:color w:val="000000"/>
                <w:sz w:val="18"/>
                <w:szCs w:val="18"/>
              </w:rPr>
              <w:t>.</w:t>
            </w:r>
            <w:r>
              <w:rPr>
                <w:rFonts w:ascii="Arial" w:hAnsi="Arial" w:cs="Arial"/>
                <w:color w:val="000000"/>
                <w:sz w:val="18"/>
                <w:szCs w:val="18"/>
              </w:rPr>
              <w:t xml:space="preserve"> </w:t>
            </w:r>
            <w:proofErr w:type="spellStart"/>
            <w:r>
              <w:rPr>
                <w:rFonts w:ascii="Arial" w:hAnsi="Arial" w:cs="Arial"/>
                <w:color w:val="000000"/>
                <w:sz w:val="18"/>
                <w:szCs w:val="18"/>
              </w:rPr>
              <w:t>dev</w:t>
            </w:r>
            <w:proofErr w:type="spellEnd"/>
            <w:r>
              <w:rPr>
                <w:rFonts w:ascii="Arial" w:hAnsi="Arial" w:cs="Arial"/>
                <w:color w:val="000000"/>
                <w:sz w:val="18"/>
                <w:szCs w:val="18"/>
              </w:rPr>
              <w:t>)</w:t>
            </w:r>
          </w:p>
        </w:tc>
        <w:tc>
          <w:tcPr>
            <w:tcW w:w="1563" w:type="dxa"/>
          </w:tcPr>
          <w:p w:rsidR="008D1D5A" w:rsidRDefault="008D1D5A" w:rsidP="00C66C56">
            <w:pPr>
              <w:bidi w:val="0"/>
            </w:pPr>
            <w:r>
              <w:rPr>
                <w:rFonts w:ascii="Arial" w:hAnsi="Arial" w:cs="Arial"/>
                <w:color w:val="000000"/>
                <w:sz w:val="18"/>
                <w:szCs w:val="18"/>
              </w:rPr>
              <w:t>65.8±10</w:t>
            </w:r>
          </w:p>
        </w:tc>
        <w:tc>
          <w:tcPr>
            <w:tcW w:w="1339" w:type="dxa"/>
          </w:tcPr>
          <w:p w:rsidR="008D1D5A" w:rsidRDefault="008D1D5A" w:rsidP="00C66C56">
            <w:pPr>
              <w:bidi w:val="0"/>
            </w:pPr>
            <w:r>
              <w:rPr>
                <w:rFonts w:ascii="Arial" w:hAnsi="Arial" w:cs="Arial"/>
                <w:color w:val="000000"/>
                <w:sz w:val="18"/>
                <w:szCs w:val="18"/>
              </w:rPr>
              <w:t>58.4±10.8</w:t>
            </w:r>
          </w:p>
        </w:tc>
        <w:tc>
          <w:tcPr>
            <w:tcW w:w="1355" w:type="dxa"/>
          </w:tcPr>
          <w:p w:rsidR="008D1D5A" w:rsidRDefault="008D1D5A" w:rsidP="00C66C56">
            <w:pPr>
              <w:bidi w:val="0"/>
            </w:pPr>
            <w:r>
              <w:rPr>
                <w:rFonts w:ascii="Arial" w:hAnsi="Arial" w:cs="Arial"/>
                <w:color w:val="000000"/>
                <w:sz w:val="18"/>
                <w:szCs w:val="18"/>
              </w:rPr>
              <w:t>55.6±8.6</w:t>
            </w:r>
          </w:p>
        </w:tc>
        <w:tc>
          <w:tcPr>
            <w:tcW w:w="1335" w:type="dxa"/>
          </w:tcPr>
          <w:p w:rsidR="008D1D5A" w:rsidRDefault="008D1D5A" w:rsidP="00C66C56">
            <w:pPr>
              <w:bidi w:val="0"/>
            </w:pPr>
            <w:r>
              <w:rPr>
                <w:rFonts w:ascii="Arial" w:hAnsi="Arial" w:cs="Arial"/>
                <w:color w:val="000000"/>
                <w:sz w:val="18"/>
                <w:szCs w:val="18"/>
              </w:rPr>
              <w:t>56.3±12.1</w:t>
            </w:r>
          </w:p>
        </w:tc>
        <w:tc>
          <w:tcPr>
            <w:tcW w:w="1202" w:type="dxa"/>
          </w:tcPr>
          <w:p w:rsidR="008D1D5A" w:rsidRDefault="008D1D5A" w:rsidP="00C66C56">
            <w:pPr>
              <w:bidi w:val="0"/>
            </w:pPr>
            <w:r>
              <w:t>0.057</w:t>
            </w:r>
          </w:p>
        </w:tc>
      </w:tr>
      <w:tr w:rsidR="008D1D5A" w:rsidTr="00C66C56">
        <w:tc>
          <w:tcPr>
            <w:tcW w:w="1728" w:type="dxa"/>
          </w:tcPr>
          <w:p w:rsidR="008D1D5A" w:rsidRDefault="008D1D5A" w:rsidP="00C66C56">
            <w:pPr>
              <w:bidi w:val="0"/>
            </w:pPr>
            <w:r>
              <w:t>Age</w:t>
            </w:r>
            <w:r>
              <w:rPr>
                <w:rFonts w:ascii="Arial" w:hAnsi="Arial" w:cs="Arial"/>
              </w:rPr>
              <w:t xml:space="preserve"> ≥</w:t>
            </w:r>
            <w:r>
              <w:t xml:space="preserve"> 60yrs (85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33/39(84.6%)</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38/74(51.4%)</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7/29(24.1%)</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7/21(33.3%)</w:t>
            </w:r>
          </w:p>
        </w:tc>
        <w:tc>
          <w:tcPr>
            <w:tcW w:w="1202" w:type="dxa"/>
          </w:tcPr>
          <w:p w:rsidR="008D1D5A" w:rsidRDefault="008D1D5A" w:rsidP="00C66C56">
            <w:pPr>
              <w:bidi w:val="0"/>
            </w:pPr>
            <w:r>
              <w:t>0.004</w:t>
            </w:r>
          </w:p>
        </w:tc>
      </w:tr>
      <w:tr w:rsidR="008D1D5A" w:rsidTr="00C66C56">
        <w:tc>
          <w:tcPr>
            <w:tcW w:w="8522" w:type="dxa"/>
            <w:gridSpan w:val="6"/>
          </w:tcPr>
          <w:p w:rsidR="008D1D5A" w:rsidRPr="00F72689" w:rsidRDefault="008D1D5A" w:rsidP="00C66C56">
            <w:pPr>
              <w:bidi w:val="0"/>
              <w:rPr>
                <w:b/>
                <w:bCs/>
              </w:rPr>
            </w:pPr>
            <w:r w:rsidRPr="00F72689">
              <w:rPr>
                <w:b/>
                <w:bCs/>
                <w:sz w:val="24"/>
                <w:szCs w:val="24"/>
              </w:rPr>
              <w:t>Nutrition parameters</w:t>
            </w:r>
          </w:p>
        </w:tc>
      </w:tr>
      <w:tr w:rsidR="008D1D5A" w:rsidTr="00C66C56">
        <w:tc>
          <w:tcPr>
            <w:tcW w:w="1728" w:type="dxa"/>
          </w:tcPr>
          <w:p w:rsidR="008D1D5A" w:rsidRPr="00A367DB" w:rsidRDefault="008D1D5A" w:rsidP="00C66C56">
            <w:pPr>
              <w:bidi w:val="0"/>
            </w:pPr>
            <w:r>
              <w:t>BMI (Kg/m</w:t>
            </w:r>
            <w:r>
              <w:rPr>
                <w:vertAlign w:val="superscript"/>
              </w:rPr>
              <w:t>2</w:t>
            </w:r>
            <w:r>
              <w:t>) (m</w:t>
            </w:r>
            <w:r>
              <w:rPr>
                <w:rFonts w:ascii="Arial" w:hAnsi="Arial" w:cs="Arial"/>
                <w:color w:val="000000"/>
                <w:sz w:val="18"/>
                <w:szCs w:val="18"/>
              </w:rPr>
              <w:t xml:space="preserve"> ± std</w:t>
            </w:r>
            <w:r w:rsidRPr="00990587">
              <w:rPr>
                <w:rFonts w:ascii="Arial" w:hAnsi="Arial" w:cs="Arial"/>
                <w:color w:val="000000"/>
                <w:sz w:val="18"/>
                <w:szCs w:val="18"/>
              </w:rPr>
              <w:t>.</w:t>
            </w:r>
            <w:r>
              <w:rPr>
                <w:rFonts w:ascii="Arial" w:hAnsi="Arial" w:cs="Arial"/>
                <w:color w:val="000000"/>
                <w:sz w:val="18"/>
                <w:szCs w:val="18"/>
              </w:rPr>
              <w:t xml:space="preserve"> </w:t>
            </w:r>
            <w:proofErr w:type="spellStart"/>
            <w:r>
              <w:rPr>
                <w:rFonts w:ascii="Arial" w:hAnsi="Arial" w:cs="Arial"/>
                <w:color w:val="000000"/>
                <w:sz w:val="18"/>
                <w:szCs w:val="18"/>
              </w:rPr>
              <w:t>dev</w:t>
            </w:r>
            <w:proofErr w:type="spellEnd"/>
            <w:r>
              <w:t>)</w:t>
            </w:r>
          </w:p>
        </w:tc>
        <w:tc>
          <w:tcPr>
            <w:tcW w:w="1563" w:type="dxa"/>
          </w:tcPr>
          <w:p w:rsidR="008D1D5A" w:rsidRDefault="008D1D5A" w:rsidP="00C66C56">
            <w:pPr>
              <w:bidi w:val="0"/>
            </w:pPr>
            <w:r>
              <w:rPr>
                <w:rFonts w:ascii="Arial" w:hAnsi="Arial" w:cs="Arial"/>
                <w:color w:val="000000"/>
                <w:sz w:val="18"/>
                <w:szCs w:val="18"/>
              </w:rPr>
              <w:t>17.6±2.1</w:t>
            </w:r>
          </w:p>
        </w:tc>
        <w:tc>
          <w:tcPr>
            <w:tcW w:w="1339" w:type="dxa"/>
          </w:tcPr>
          <w:p w:rsidR="008D1D5A" w:rsidRDefault="008D1D5A" w:rsidP="00C66C56">
            <w:pPr>
              <w:bidi w:val="0"/>
            </w:pPr>
            <w:r>
              <w:rPr>
                <w:rFonts w:ascii="Arial" w:hAnsi="Arial" w:cs="Arial"/>
                <w:color w:val="000000"/>
                <w:sz w:val="18"/>
                <w:szCs w:val="18"/>
              </w:rPr>
              <w:t>23±2</w:t>
            </w:r>
          </w:p>
        </w:tc>
        <w:tc>
          <w:tcPr>
            <w:tcW w:w="1355" w:type="dxa"/>
          </w:tcPr>
          <w:p w:rsidR="008D1D5A" w:rsidRDefault="008D1D5A" w:rsidP="00C66C56">
            <w:pPr>
              <w:bidi w:val="0"/>
            </w:pPr>
            <w:r>
              <w:rPr>
                <w:rFonts w:ascii="Arial" w:hAnsi="Arial" w:cs="Arial"/>
                <w:color w:val="000000"/>
                <w:sz w:val="18"/>
                <w:szCs w:val="18"/>
              </w:rPr>
              <w:t>27.1±1.8</w:t>
            </w:r>
          </w:p>
        </w:tc>
        <w:tc>
          <w:tcPr>
            <w:tcW w:w="1335" w:type="dxa"/>
          </w:tcPr>
          <w:p w:rsidR="008D1D5A" w:rsidRDefault="008D1D5A" w:rsidP="00C66C56">
            <w:pPr>
              <w:bidi w:val="0"/>
            </w:pPr>
            <w:r>
              <w:rPr>
                <w:rFonts w:ascii="Arial" w:hAnsi="Arial" w:cs="Arial"/>
                <w:color w:val="000000"/>
                <w:sz w:val="18"/>
                <w:szCs w:val="18"/>
              </w:rPr>
              <w:t>33.8±5.3</w:t>
            </w:r>
          </w:p>
        </w:tc>
        <w:tc>
          <w:tcPr>
            <w:tcW w:w="1202" w:type="dxa"/>
          </w:tcPr>
          <w:p w:rsidR="008D1D5A" w:rsidRDefault="008D1D5A" w:rsidP="00C66C56">
            <w:pPr>
              <w:bidi w:val="0"/>
            </w:pPr>
            <w:r>
              <w:t>0.000</w:t>
            </w:r>
          </w:p>
        </w:tc>
      </w:tr>
      <w:tr w:rsidR="008D1D5A" w:rsidTr="00C66C56">
        <w:tc>
          <w:tcPr>
            <w:tcW w:w="1728" w:type="dxa"/>
          </w:tcPr>
          <w:p w:rsidR="008D1D5A" w:rsidRDefault="008D1D5A" w:rsidP="00C66C56">
            <w:pPr>
              <w:bidi w:val="0"/>
            </w:pPr>
            <w:r>
              <w:t>MAC (cm) (m</w:t>
            </w:r>
            <w:r>
              <w:rPr>
                <w:rFonts w:ascii="Arial" w:hAnsi="Arial" w:cs="Arial"/>
                <w:color w:val="000000"/>
                <w:sz w:val="18"/>
                <w:szCs w:val="18"/>
              </w:rPr>
              <w:t xml:space="preserve"> ± std</w:t>
            </w:r>
            <w:r w:rsidRPr="00990587">
              <w:rPr>
                <w:rFonts w:ascii="Arial" w:hAnsi="Arial" w:cs="Arial"/>
                <w:color w:val="000000"/>
                <w:sz w:val="18"/>
                <w:szCs w:val="18"/>
              </w:rPr>
              <w:t>.</w:t>
            </w:r>
            <w:r>
              <w:rPr>
                <w:rFonts w:ascii="Arial" w:hAnsi="Arial" w:cs="Arial"/>
                <w:color w:val="000000"/>
                <w:sz w:val="18"/>
                <w:szCs w:val="18"/>
              </w:rPr>
              <w:t xml:space="preserve"> </w:t>
            </w:r>
            <w:proofErr w:type="spellStart"/>
            <w:r>
              <w:rPr>
                <w:rFonts w:ascii="Arial" w:hAnsi="Arial" w:cs="Arial"/>
                <w:color w:val="000000"/>
                <w:sz w:val="18"/>
                <w:szCs w:val="18"/>
              </w:rPr>
              <w:t>dev</w:t>
            </w:r>
            <w:proofErr w:type="spellEnd"/>
            <w:r>
              <w:t>)</w:t>
            </w:r>
          </w:p>
        </w:tc>
        <w:tc>
          <w:tcPr>
            <w:tcW w:w="1563" w:type="dxa"/>
          </w:tcPr>
          <w:p w:rsidR="008D1D5A" w:rsidRDefault="008D1D5A" w:rsidP="00C66C56">
            <w:pPr>
              <w:bidi w:val="0"/>
            </w:pPr>
            <w:r>
              <w:rPr>
                <w:rFonts w:ascii="Arial" w:hAnsi="Arial" w:cs="Arial"/>
                <w:color w:val="000000"/>
                <w:sz w:val="18"/>
                <w:szCs w:val="18"/>
              </w:rPr>
              <w:t>21.7±2.8</w:t>
            </w:r>
          </w:p>
        </w:tc>
        <w:tc>
          <w:tcPr>
            <w:tcW w:w="1339" w:type="dxa"/>
          </w:tcPr>
          <w:p w:rsidR="008D1D5A" w:rsidRDefault="008D1D5A" w:rsidP="00C66C56">
            <w:pPr>
              <w:bidi w:val="0"/>
            </w:pPr>
            <w:r>
              <w:rPr>
                <w:rFonts w:ascii="Arial" w:hAnsi="Arial" w:cs="Arial"/>
                <w:color w:val="000000"/>
                <w:sz w:val="18"/>
                <w:szCs w:val="18"/>
              </w:rPr>
              <w:t>26.2±2.7</w:t>
            </w:r>
          </w:p>
        </w:tc>
        <w:tc>
          <w:tcPr>
            <w:tcW w:w="1355" w:type="dxa"/>
          </w:tcPr>
          <w:p w:rsidR="008D1D5A" w:rsidRDefault="008D1D5A" w:rsidP="00C66C56">
            <w:pPr>
              <w:bidi w:val="0"/>
            </w:pPr>
            <w:r>
              <w:rPr>
                <w:rFonts w:ascii="Arial" w:hAnsi="Arial" w:cs="Arial"/>
                <w:color w:val="000000"/>
                <w:sz w:val="18"/>
                <w:szCs w:val="18"/>
              </w:rPr>
              <w:t>28.6±2.9</w:t>
            </w:r>
          </w:p>
        </w:tc>
        <w:tc>
          <w:tcPr>
            <w:tcW w:w="1335" w:type="dxa"/>
          </w:tcPr>
          <w:p w:rsidR="008D1D5A" w:rsidRDefault="008D1D5A" w:rsidP="00C66C56">
            <w:pPr>
              <w:bidi w:val="0"/>
            </w:pPr>
            <w:r>
              <w:rPr>
                <w:rFonts w:ascii="Arial" w:hAnsi="Arial" w:cs="Arial"/>
                <w:color w:val="000000"/>
                <w:sz w:val="18"/>
                <w:szCs w:val="18"/>
              </w:rPr>
              <w:t>32.7±4.5</w:t>
            </w:r>
          </w:p>
        </w:tc>
        <w:tc>
          <w:tcPr>
            <w:tcW w:w="1202" w:type="dxa"/>
          </w:tcPr>
          <w:p w:rsidR="008D1D5A" w:rsidRDefault="008D1D5A" w:rsidP="00C66C56">
            <w:pPr>
              <w:bidi w:val="0"/>
            </w:pPr>
            <w:r>
              <w:t>0.000</w:t>
            </w:r>
          </w:p>
        </w:tc>
      </w:tr>
      <w:tr w:rsidR="008D1D5A" w:rsidTr="00C66C56">
        <w:tc>
          <w:tcPr>
            <w:tcW w:w="1728" w:type="dxa"/>
          </w:tcPr>
          <w:p w:rsidR="008D1D5A" w:rsidRDefault="008D1D5A" w:rsidP="00C66C56">
            <w:pPr>
              <w:bidi w:val="0"/>
            </w:pPr>
            <w:r>
              <w:t>TSF (cm) (m</w:t>
            </w:r>
            <w:r>
              <w:rPr>
                <w:rFonts w:ascii="Arial" w:hAnsi="Arial" w:cs="Arial"/>
                <w:color w:val="000000"/>
                <w:sz w:val="18"/>
                <w:szCs w:val="18"/>
              </w:rPr>
              <w:t xml:space="preserve"> ± std</w:t>
            </w:r>
            <w:r w:rsidRPr="00990587">
              <w:rPr>
                <w:rFonts w:ascii="Arial" w:hAnsi="Arial" w:cs="Arial"/>
                <w:color w:val="000000"/>
                <w:sz w:val="18"/>
                <w:szCs w:val="18"/>
              </w:rPr>
              <w:t>.</w:t>
            </w:r>
            <w:r>
              <w:rPr>
                <w:rFonts w:ascii="Arial" w:hAnsi="Arial" w:cs="Arial"/>
                <w:color w:val="000000"/>
                <w:sz w:val="18"/>
                <w:szCs w:val="18"/>
              </w:rPr>
              <w:t xml:space="preserve"> </w:t>
            </w:r>
            <w:proofErr w:type="spellStart"/>
            <w:r>
              <w:rPr>
                <w:rFonts w:ascii="Arial" w:hAnsi="Arial" w:cs="Arial"/>
                <w:color w:val="000000"/>
                <w:sz w:val="18"/>
                <w:szCs w:val="18"/>
              </w:rPr>
              <w:t>dev</w:t>
            </w:r>
            <w:proofErr w:type="spellEnd"/>
            <w:r>
              <w:t>)</w:t>
            </w:r>
          </w:p>
        </w:tc>
        <w:tc>
          <w:tcPr>
            <w:tcW w:w="1563" w:type="dxa"/>
          </w:tcPr>
          <w:p w:rsidR="008D1D5A" w:rsidRDefault="008D1D5A" w:rsidP="00C66C56">
            <w:pPr>
              <w:bidi w:val="0"/>
            </w:pPr>
            <w:r>
              <w:rPr>
                <w:rFonts w:ascii="Arial" w:hAnsi="Arial" w:cs="Arial"/>
                <w:color w:val="000000"/>
                <w:sz w:val="18"/>
                <w:szCs w:val="18"/>
              </w:rPr>
              <w:t>0.69±0.3</w:t>
            </w:r>
          </w:p>
        </w:tc>
        <w:tc>
          <w:tcPr>
            <w:tcW w:w="1339" w:type="dxa"/>
          </w:tcPr>
          <w:p w:rsidR="008D1D5A" w:rsidRDefault="008D1D5A" w:rsidP="00C66C56">
            <w:pPr>
              <w:bidi w:val="0"/>
            </w:pPr>
            <w:r>
              <w:rPr>
                <w:rFonts w:ascii="Arial" w:hAnsi="Arial" w:cs="Arial"/>
                <w:color w:val="000000"/>
                <w:sz w:val="18"/>
                <w:szCs w:val="18"/>
              </w:rPr>
              <w:t>1.15±0.5</w:t>
            </w:r>
          </w:p>
        </w:tc>
        <w:tc>
          <w:tcPr>
            <w:tcW w:w="1355" w:type="dxa"/>
          </w:tcPr>
          <w:p w:rsidR="008D1D5A" w:rsidRDefault="008D1D5A" w:rsidP="00C66C56">
            <w:pPr>
              <w:bidi w:val="0"/>
            </w:pPr>
            <w:r>
              <w:rPr>
                <w:rFonts w:ascii="Arial" w:hAnsi="Arial" w:cs="Arial"/>
                <w:color w:val="000000"/>
                <w:sz w:val="18"/>
                <w:szCs w:val="18"/>
              </w:rPr>
              <w:t>1.32±0.5</w:t>
            </w:r>
          </w:p>
        </w:tc>
        <w:tc>
          <w:tcPr>
            <w:tcW w:w="1335" w:type="dxa"/>
          </w:tcPr>
          <w:p w:rsidR="008D1D5A" w:rsidRDefault="008D1D5A" w:rsidP="00C66C56">
            <w:pPr>
              <w:bidi w:val="0"/>
            </w:pPr>
            <w:r>
              <w:rPr>
                <w:rFonts w:ascii="Arial" w:hAnsi="Arial" w:cs="Arial"/>
                <w:color w:val="000000"/>
                <w:sz w:val="18"/>
                <w:szCs w:val="18"/>
              </w:rPr>
              <w:t>1.84±.9</w:t>
            </w:r>
          </w:p>
        </w:tc>
        <w:tc>
          <w:tcPr>
            <w:tcW w:w="1202" w:type="dxa"/>
          </w:tcPr>
          <w:p w:rsidR="008D1D5A" w:rsidRDefault="008D1D5A" w:rsidP="00C66C56">
            <w:pPr>
              <w:bidi w:val="0"/>
            </w:pPr>
            <w:r>
              <w:t>0.000</w:t>
            </w:r>
          </w:p>
        </w:tc>
      </w:tr>
      <w:tr w:rsidR="008D1D5A" w:rsidTr="00C66C56">
        <w:tc>
          <w:tcPr>
            <w:tcW w:w="1728" w:type="dxa"/>
          </w:tcPr>
          <w:p w:rsidR="008D1D5A" w:rsidRDefault="008D1D5A" w:rsidP="00C66C56">
            <w:pPr>
              <w:bidi w:val="0"/>
            </w:pPr>
            <w:r>
              <w:t>MAMC (cm) (m</w:t>
            </w:r>
            <w:r>
              <w:rPr>
                <w:rFonts w:ascii="Arial" w:hAnsi="Arial" w:cs="Arial"/>
                <w:color w:val="000000"/>
                <w:sz w:val="18"/>
                <w:szCs w:val="18"/>
              </w:rPr>
              <w:t xml:space="preserve"> ± std</w:t>
            </w:r>
            <w:r w:rsidRPr="00990587">
              <w:rPr>
                <w:rFonts w:ascii="Arial" w:hAnsi="Arial" w:cs="Arial"/>
                <w:color w:val="000000"/>
                <w:sz w:val="18"/>
                <w:szCs w:val="18"/>
              </w:rPr>
              <w:t>.</w:t>
            </w:r>
            <w:r>
              <w:rPr>
                <w:rFonts w:ascii="Arial" w:hAnsi="Arial" w:cs="Arial"/>
                <w:color w:val="000000"/>
                <w:sz w:val="18"/>
                <w:szCs w:val="18"/>
              </w:rPr>
              <w:t xml:space="preserve"> </w:t>
            </w:r>
            <w:proofErr w:type="spellStart"/>
            <w:r>
              <w:rPr>
                <w:rFonts w:ascii="Arial" w:hAnsi="Arial" w:cs="Arial"/>
                <w:color w:val="000000"/>
                <w:sz w:val="18"/>
                <w:szCs w:val="18"/>
              </w:rPr>
              <w:t>dev</w:t>
            </w:r>
            <w:proofErr w:type="spellEnd"/>
            <w:r>
              <w:t>)</w:t>
            </w:r>
          </w:p>
        </w:tc>
        <w:tc>
          <w:tcPr>
            <w:tcW w:w="1563" w:type="dxa"/>
          </w:tcPr>
          <w:p w:rsidR="008D1D5A" w:rsidRDefault="008D1D5A" w:rsidP="00C66C56">
            <w:pPr>
              <w:bidi w:val="0"/>
            </w:pPr>
            <w:r>
              <w:rPr>
                <w:rFonts w:ascii="Arial" w:hAnsi="Arial" w:cs="Arial"/>
                <w:color w:val="000000"/>
                <w:sz w:val="18"/>
                <w:szCs w:val="18"/>
              </w:rPr>
              <w:t>19.5±2.5</w:t>
            </w:r>
          </w:p>
        </w:tc>
        <w:tc>
          <w:tcPr>
            <w:tcW w:w="1339" w:type="dxa"/>
          </w:tcPr>
          <w:p w:rsidR="008D1D5A" w:rsidRDefault="008D1D5A" w:rsidP="00C66C56">
            <w:pPr>
              <w:bidi w:val="0"/>
            </w:pPr>
            <w:r>
              <w:rPr>
                <w:rFonts w:ascii="Arial" w:hAnsi="Arial" w:cs="Arial"/>
                <w:color w:val="000000"/>
                <w:sz w:val="18"/>
                <w:szCs w:val="18"/>
              </w:rPr>
              <w:t>22.6±2.7</w:t>
            </w:r>
          </w:p>
        </w:tc>
        <w:tc>
          <w:tcPr>
            <w:tcW w:w="1355" w:type="dxa"/>
          </w:tcPr>
          <w:p w:rsidR="008D1D5A" w:rsidRDefault="008D1D5A" w:rsidP="00C66C56">
            <w:pPr>
              <w:bidi w:val="0"/>
            </w:pPr>
            <w:r>
              <w:rPr>
                <w:rFonts w:ascii="Arial" w:hAnsi="Arial" w:cs="Arial"/>
                <w:color w:val="000000"/>
                <w:sz w:val="18"/>
                <w:szCs w:val="18"/>
              </w:rPr>
              <w:t>24.5±2.7</w:t>
            </w:r>
          </w:p>
        </w:tc>
        <w:tc>
          <w:tcPr>
            <w:tcW w:w="1335" w:type="dxa"/>
          </w:tcPr>
          <w:p w:rsidR="008D1D5A" w:rsidRDefault="008D1D5A" w:rsidP="00C66C56">
            <w:pPr>
              <w:bidi w:val="0"/>
            </w:pPr>
            <w:r>
              <w:rPr>
                <w:rFonts w:ascii="Arial" w:hAnsi="Arial" w:cs="Arial"/>
                <w:color w:val="000000"/>
                <w:sz w:val="18"/>
                <w:szCs w:val="18"/>
              </w:rPr>
              <w:t>26.9±3.3</w:t>
            </w:r>
          </w:p>
        </w:tc>
        <w:tc>
          <w:tcPr>
            <w:tcW w:w="1202" w:type="dxa"/>
          </w:tcPr>
          <w:p w:rsidR="008D1D5A" w:rsidRDefault="008D1D5A" w:rsidP="00C66C56">
            <w:pPr>
              <w:bidi w:val="0"/>
            </w:pPr>
            <w:r>
              <w:t>0.003</w:t>
            </w:r>
          </w:p>
        </w:tc>
      </w:tr>
      <w:tr w:rsidR="008D1D5A" w:rsidTr="00C66C56">
        <w:tc>
          <w:tcPr>
            <w:tcW w:w="1728" w:type="dxa"/>
          </w:tcPr>
          <w:p w:rsidR="008D1D5A" w:rsidRPr="00555D20" w:rsidRDefault="008D1D5A" w:rsidP="00C66C56">
            <w:pPr>
              <w:bidi w:val="0"/>
              <w:rPr>
                <w:b/>
                <w:bCs/>
              </w:rPr>
            </w:pPr>
            <w:r w:rsidRPr="00555D20">
              <w:rPr>
                <w:b/>
                <w:bCs/>
                <w:sz w:val="28"/>
                <w:szCs w:val="28"/>
              </w:rPr>
              <w:t>LOS</w:t>
            </w:r>
          </w:p>
        </w:tc>
        <w:tc>
          <w:tcPr>
            <w:tcW w:w="6794" w:type="dxa"/>
            <w:gridSpan w:val="5"/>
          </w:tcPr>
          <w:p w:rsidR="008D1D5A" w:rsidRDefault="008D1D5A" w:rsidP="00C66C56">
            <w:pPr>
              <w:bidi w:val="0"/>
            </w:pPr>
          </w:p>
        </w:tc>
      </w:tr>
      <w:tr w:rsidR="008D1D5A" w:rsidTr="00C66C56">
        <w:tc>
          <w:tcPr>
            <w:tcW w:w="1728" w:type="dxa"/>
          </w:tcPr>
          <w:p w:rsidR="008D1D5A" w:rsidRDefault="008D1D5A" w:rsidP="00C66C56">
            <w:pPr>
              <w:bidi w:val="0"/>
            </w:pPr>
            <w:r>
              <w:t>Los (days) m</w:t>
            </w:r>
            <w:r>
              <w:rPr>
                <w:rFonts w:ascii="Arial" w:hAnsi="Arial" w:cs="Arial"/>
              </w:rPr>
              <w:t xml:space="preserve"> ±</w:t>
            </w:r>
            <w:r>
              <w:t xml:space="preserve"> std. </w:t>
            </w:r>
            <w:proofErr w:type="spellStart"/>
            <w:r>
              <w:t>dev</w:t>
            </w:r>
            <w:proofErr w:type="spellEnd"/>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3.77±2.1</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3.64±2</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4.4±2.4</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4.52±4.1</w:t>
            </w:r>
          </w:p>
        </w:tc>
        <w:tc>
          <w:tcPr>
            <w:tcW w:w="1202" w:type="dxa"/>
          </w:tcPr>
          <w:p w:rsidR="008D1D5A" w:rsidRDefault="008D1D5A" w:rsidP="00C66C56">
            <w:pPr>
              <w:bidi w:val="0"/>
            </w:pPr>
            <w:r>
              <w:t>0.078</w:t>
            </w:r>
          </w:p>
        </w:tc>
      </w:tr>
      <w:tr w:rsidR="008D1D5A" w:rsidTr="00C66C56">
        <w:tc>
          <w:tcPr>
            <w:tcW w:w="1728" w:type="dxa"/>
          </w:tcPr>
          <w:p w:rsidR="008D1D5A" w:rsidRPr="007C3863" w:rsidRDefault="008D1D5A" w:rsidP="00C66C56">
            <w:pPr>
              <w:bidi w:val="0"/>
              <w:rPr>
                <w:b/>
                <w:bCs/>
                <w:sz w:val="28"/>
                <w:szCs w:val="28"/>
              </w:rPr>
            </w:pPr>
            <w:r w:rsidRPr="007C3863">
              <w:rPr>
                <w:b/>
                <w:bCs/>
                <w:sz w:val="28"/>
                <w:szCs w:val="28"/>
              </w:rPr>
              <w:t>Nationality</w:t>
            </w:r>
          </w:p>
        </w:tc>
        <w:tc>
          <w:tcPr>
            <w:tcW w:w="6794" w:type="dxa"/>
            <w:gridSpan w:val="5"/>
          </w:tcPr>
          <w:p w:rsidR="008D1D5A" w:rsidRDefault="008D1D5A" w:rsidP="00C66C56">
            <w:pPr>
              <w:bidi w:val="0"/>
            </w:pPr>
          </w:p>
        </w:tc>
      </w:tr>
      <w:tr w:rsidR="008D1D5A" w:rsidTr="00C66C56">
        <w:tc>
          <w:tcPr>
            <w:tcW w:w="1728" w:type="dxa"/>
          </w:tcPr>
          <w:p w:rsidR="008D1D5A" w:rsidRDefault="008D1D5A" w:rsidP="00C66C56">
            <w:pPr>
              <w:bidi w:val="0"/>
            </w:pPr>
            <w:r>
              <w:t xml:space="preserve">South Asian (52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14/52 (26.9%)</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22/52 (42.3%)</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11/52 (21.2%)</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5/52 (9.6%)</w:t>
            </w:r>
          </w:p>
        </w:tc>
        <w:tc>
          <w:tcPr>
            <w:tcW w:w="1202" w:type="dxa"/>
            <w:vMerge w:val="restart"/>
          </w:tcPr>
          <w:p w:rsidR="008D1D5A" w:rsidRDefault="008D1D5A" w:rsidP="00C66C56">
            <w:pPr>
              <w:bidi w:val="0"/>
            </w:pPr>
            <w:r>
              <w:t>0.017</w:t>
            </w:r>
          </w:p>
          <w:p w:rsidR="008D1D5A" w:rsidRDefault="008D1D5A" w:rsidP="00C66C56">
            <w:pPr>
              <w:bidi w:val="0"/>
            </w:pPr>
          </w:p>
        </w:tc>
      </w:tr>
      <w:tr w:rsidR="008D1D5A" w:rsidTr="00C66C56">
        <w:tc>
          <w:tcPr>
            <w:tcW w:w="1728" w:type="dxa"/>
          </w:tcPr>
          <w:p w:rsidR="008D1D5A" w:rsidRDefault="008D1D5A" w:rsidP="00C66C56">
            <w:pPr>
              <w:bidi w:val="0"/>
            </w:pPr>
            <w:r>
              <w:t xml:space="preserve">Arabic (42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6/42 (14.3%)</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20/42 (47.6%)</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10/42 (23.8%)</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6/42 (14.3%)</w:t>
            </w:r>
          </w:p>
        </w:tc>
        <w:tc>
          <w:tcPr>
            <w:tcW w:w="1202" w:type="dxa"/>
            <w:vMerge/>
          </w:tcPr>
          <w:p w:rsidR="008D1D5A" w:rsidRDefault="008D1D5A" w:rsidP="00C66C56">
            <w:pPr>
              <w:bidi w:val="0"/>
            </w:pPr>
          </w:p>
        </w:tc>
      </w:tr>
      <w:tr w:rsidR="008D1D5A" w:rsidTr="00C66C56">
        <w:tc>
          <w:tcPr>
            <w:tcW w:w="1728" w:type="dxa"/>
          </w:tcPr>
          <w:p w:rsidR="008D1D5A" w:rsidRDefault="008D1D5A" w:rsidP="00C66C56">
            <w:pPr>
              <w:bidi w:val="0"/>
            </w:pPr>
            <w:r>
              <w:t>S. E. Asian (38)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15/38 (39.5%)</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18/38 (47.5%)</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3/38 (7.9%)</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2/38 (5.1%)</w:t>
            </w:r>
          </w:p>
        </w:tc>
        <w:tc>
          <w:tcPr>
            <w:tcW w:w="1202" w:type="dxa"/>
            <w:vMerge/>
          </w:tcPr>
          <w:p w:rsidR="008D1D5A" w:rsidRDefault="008D1D5A" w:rsidP="00C66C56">
            <w:pPr>
              <w:bidi w:val="0"/>
            </w:pPr>
          </w:p>
        </w:tc>
      </w:tr>
      <w:tr w:rsidR="008D1D5A" w:rsidTr="00C66C56">
        <w:tc>
          <w:tcPr>
            <w:tcW w:w="1728" w:type="dxa"/>
          </w:tcPr>
          <w:p w:rsidR="008D1D5A" w:rsidRDefault="008D1D5A" w:rsidP="00C66C56">
            <w:pPr>
              <w:bidi w:val="0"/>
            </w:pPr>
            <w:r>
              <w:t xml:space="preserve">Central Asian (19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0/19 (0%)</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10/19 (52.6%)</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4/19 (21.1%)</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5/19 (26.3%)</w:t>
            </w:r>
          </w:p>
        </w:tc>
        <w:tc>
          <w:tcPr>
            <w:tcW w:w="1202" w:type="dxa"/>
            <w:vMerge/>
          </w:tcPr>
          <w:p w:rsidR="008D1D5A" w:rsidRDefault="008D1D5A" w:rsidP="00C66C56">
            <w:pPr>
              <w:bidi w:val="0"/>
            </w:pPr>
          </w:p>
        </w:tc>
      </w:tr>
      <w:tr w:rsidR="008D1D5A" w:rsidTr="00C66C56">
        <w:tc>
          <w:tcPr>
            <w:tcW w:w="1728" w:type="dxa"/>
          </w:tcPr>
          <w:p w:rsidR="008D1D5A" w:rsidRDefault="008D1D5A" w:rsidP="00C66C56">
            <w:pPr>
              <w:bidi w:val="0"/>
            </w:pPr>
            <w:r>
              <w:t xml:space="preserve">African (7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4/7 (57%)</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2/7 (29%)</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1/7 (14%)</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0/7 (0%)</w:t>
            </w:r>
          </w:p>
        </w:tc>
        <w:tc>
          <w:tcPr>
            <w:tcW w:w="1202" w:type="dxa"/>
            <w:vMerge/>
          </w:tcPr>
          <w:p w:rsidR="008D1D5A" w:rsidRDefault="008D1D5A" w:rsidP="00C66C56">
            <w:pPr>
              <w:bidi w:val="0"/>
            </w:pPr>
          </w:p>
        </w:tc>
      </w:tr>
      <w:tr w:rsidR="008D1D5A" w:rsidTr="00C66C56">
        <w:tc>
          <w:tcPr>
            <w:tcW w:w="1728" w:type="dxa"/>
          </w:tcPr>
          <w:p w:rsidR="008D1D5A" w:rsidRDefault="008D1D5A" w:rsidP="00C66C56">
            <w:pPr>
              <w:bidi w:val="0"/>
            </w:pPr>
            <w:r>
              <w:t xml:space="preserve">Others (5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0/5 (0%)</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2/5 (40%)</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1/5 (20%)</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2/5 (40%)</w:t>
            </w:r>
          </w:p>
        </w:tc>
        <w:tc>
          <w:tcPr>
            <w:tcW w:w="1202" w:type="dxa"/>
            <w:vMerge/>
          </w:tcPr>
          <w:p w:rsidR="008D1D5A" w:rsidRDefault="008D1D5A" w:rsidP="00C66C56">
            <w:pPr>
              <w:bidi w:val="0"/>
            </w:pPr>
          </w:p>
        </w:tc>
      </w:tr>
      <w:tr w:rsidR="008D1D5A" w:rsidTr="00C66C56">
        <w:tc>
          <w:tcPr>
            <w:tcW w:w="8522" w:type="dxa"/>
            <w:gridSpan w:val="6"/>
          </w:tcPr>
          <w:p w:rsidR="008D1D5A" w:rsidRDefault="008D1D5A" w:rsidP="00C66C56">
            <w:pPr>
              <w:bidi w:val="0"/>
            </w:pPr>
            <w:r w:rsidRPr="001A2F9E">
              <w:rPr>
                <w:b/>
                <w:bCs/>
              </w:rPr>
              <w:t>Cause of admission</w:t>
            </w:r>
          </w:p>
        </w:tc>
      </w:tr>
      <w:tr w:rsidR="008D1D5A" w:rsidTr="00C66C56">
        <w:tc>
          <w:tcPr>
            <w:tcW w:w="1728"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Gastro</w:t>
            </w:r>
            <w:r>
              <w:t xml:space="preserve">enterology (36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6/36 (16.7%)</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20/36 (55.6%)</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7/36 (19.4%)</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3/36 (8.3%)</w:t>
            </w:r>
          </w:p>
        </w:tc>
        <w:tc>
          <w:tcPr>
            <w:tcW w:w="1202" w:type="dxa"/>
            <w:vMerge w:val="restart"/>
          </w:tcPr>
          <w:p w:rsidR="008D1D5A" w:rsidRDefault="008D1D5A" w:rsidP="00C66C56">
            <w:pPr>
              <w:bidi w:val="0"/>
            </w:pPr>
            <w:r>
              <w:t>0.017</w:t>
            </w:r>
          </w:p>
        </w:tc>
      </w:tr>
      <w:tr w:rsidR="008D1D5A" w:rsidTr="00C66C56">
        <w:tc>
          <w:tcPr>
            <w:tcW w:w="1728"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Respiratory</w:t>
            </w:r>
            <w:r>
              <w:t xml:space="preserve"> (72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25/72 (34.8%)</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32/72 (44.4%)</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7/72 (9.7%)</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8/72 (11.1%)</w:t>
            </w:r>
          </w:p>
        </w:tc>
        <w:tc>
          <w:tcPr>
            <w:tcW w:w="1202" w:type="dxa"/>
            <w:vMerge/>
          </w:tcPr>
          <w:p w:rsidR="008D1D5A" w:rsidRDefault="008D1D5A" w:rsidP="00C66C56">
            <w:pPr>
              <w:bidi w:val="0"/>
            </w:pPr>
          </w:p>
        </w:tc>
      </w:tr>
      <w:tr w:rsidR="008D1D5A" w:rsidTr="00C66C56">
        <w:tc>
          <w:tcPr>
            <w:tcW w:w="1728"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 xml:space="preserve">Neurology </w:t>
            </w:r>
            <w:r>
              <w:t xml:space="preserve">(18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1/18 (5.6%)</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6/18 (33.3%)</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5/18 (27.8%)</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6/18 (33.3%)</w:t>
            </w:r>
          </w:p>
        </w:tc>
        <w:tc>
          <w:tcPr>
            <w:tcW w:w="1202" w:type="dxa"/>
            <w:vMerge/>
          </w:tcPr>
          <w:p w:rsidR="008D1D5A" w:rsidRDefault="008D1D5A" w:rsidP="00C66C56">
            <w:pPr>
              <w:bidi w:val="0"/>
            </w:pPr>
          </w:p>
        </w:tc>
      </w:tr>
      <w:tr w:rsidR="008D1D5A" w:rsidTr="00C66C56">
        <w:tc>
          <w:tcPr>
            <w:tcW w:w="1728"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 xml:space="preserve"> Diabetics (17 </w:t>
            </w:r>
            <w:proofErr w:type="spellStart"/>
            <w:r>
              <w:rPr>
                <w:rFonts w:ascii="Arial" w:hAnsi="Arial" w:cs="Arial"/>
                <w:color w:val="000000"/>
                <w:sz w:val="18"/>
                <w:szCs w:val="18"/>
              </w:rPr>
              <w:t>pt</w:t>
            </w:r>
            <w:proofErr w:type="spellEnd"/>
            <w:r>
              <w:rPr>
                <w:rFonts w:ascii="Arial" w:hAnsi="Arial" w:cs="Arial"/>
                <w:color w:val="000000"/>
                <w:sz w:val="18"/>
                <w:szCs w:val="18"/>
              </w:rPr>
              <w:t xml:space="preserve">) </w:t>
            </w:r>
            <w:r>
              <w:t>(No,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3/17 (17.7%)</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8/17 (47%)</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6/17 (35.3%)</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0/17 (0%)</w:t>
            </w:r>
          </w:p>
        </w:tc>
        <w:tc>
          <w:tcPr>
            <w:tcW w:w="1202" w:type="dxa"/>
            <w:vMerge/>
          </w:tcPr>
          <w:p w:rsidR="008D1D5A" w:rsidRDefault="008D1D5A" w:rsidP="00C66C56">
            <w:pPr>
              <w:bidi w:val="0"/>
            </w:pPr>
          </w:p>
        </w:tc>
      </w:tr>
      <w:tr w:rsidR="008D1D5A" w:rsidTr="00C66C56">
        <w:tc>
          <w:tcPr>
            <w:tcW w:w="1728"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Others</w:t>
            </w:r>
            <w:r>
              <w:t xml:space="preserve"> (20 </w:t>
            </w:r>
            <w:proofErr w:type="spellStart"/>
            <w:r>
              <w:t>pt</w:t>
            </w:r>
            <w:proofErr w:type="spellEnd"/>
            <w:r>
              <w:t>) (No, %)</w:t>
            </w:r>
          </w:p>
        </w:tc>
        <w:tc>
          <w:tcPr>
            <w:tcW w:w="1563"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4/20 (20%)</w:t>
            </w:r>
          </w:p>
        </w:tc>
        <w:tc>
          <w:tcPr>
            <w:tcW w:w="1339"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8/20 (40%)</w:t>
            </w:r>
          </w:p>
        </w:tc>
        <w:tc>
          <w:tcPr>
            <w:tcW w:w="135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4/20 (20%)</w:t>
            </w:r>
          </w:p>
        </w:tc>
        <w:tc>
          <w:tcPr>
            <w:tcW w:w="1335"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4/20 (20%)</w:t>
            </w:r>
          </w:p>
        </w:tc>
        <w:tc>
          <w:tcPr>
            <w:tcW w:w="1202" w:type="dxa"/>
            <w:vMerge/>
          </w:tcPr>
          <w:p w:rsidR="008D1D5A" w:rsidRDefault="008D1D5A" w:rsidP="00C66C56">
            <w:pPr>
              <w:bidi w:val="0"/>
            </w:pPr>
          </w:p>
        </w:tc>
      </w:tr>
    </w:tbl>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r>
        <w:rPr>
          <w:rFonts w:ascii="Arial" w:hAnsi="Arial" w:cs="Arial"/>
          <w:b/>
          <w:bCs/>
          <w:color w:val="000000"/>
          <w:sz w:val="18"/>
          <w:szCs w:val="18"/>
        </w:rPr>
        <w:lastRenderedPageBreak/>
        <w:t>Table (2) comparison between patients according their hospital length of stay:</w:t>
      </w:r>
    </w:p>
    <w:tbl>
      <w:tblPr>
        <w:tblStyle w:val="a3"/>
        <w:bidiVisual/>
        <w:tblW w:w="0" w:type="auto"/>
        <w:tblLook w:val="04A0" w:firstRow="1" w:lastRow="0" w:firstColumn="1" w:lastColumn="0" w:noHBand="0" w:noVBand="1"/>
      </w:tblPr>
      <w:tblGrid>
        <w:gridCol w:w="2130"/>
        <w:gridCol w:w="2130"/>
        <w:gridCol w:w="2131"/>
        <w:gridCol w:w="2131"/>
      </w:tblGrid>
      <w:tr w:rsidR="008D1D5A" w:rsidTr="00C66C56">
        <w:tc>
          <w:tcPr>
            <w:tcW w:w="2130" w:type="dxa"/>
          </w:tcPr>
          <w:p w:rsidR="008D1D5A" w:rsidRDefault="008D1D5A" w:rsidP="00C66C56">
            <w:pPr>
              <w:jc w:val="right"/>
            </w:pPr>
            <w:r>
              <w:t>P value chi-Square</w:t>
            </w:r>
          </w:p>
          <w:p w:rsidR="008D1D5A" w:rsidRDefault="008D1D5A" w:rsidP="00C66C56">
            <w:pPr>
              <w:jc w:val="right"/>
              <w:rPr>
                <w:rtl/>
              </w:rPr>
            </w:pPr>
          </w:p>
        </w:tc>
        <w:tc>
          <w:tcPr>
            <w:tcW w:w="2130" w:type="dxa"/>
          </w:tcPr>
          <w:p w:rsidR="008D1D5A" w:rsidRDefault="008D1D5A" w:rsidP="00C66C56">
            <w:pPr>
              <w:bidi w:val="0"/>
              <w:rPr>
                <w:rtl/>
              </w:rPr>
            </w:pPr>
            <w:r>
              <w:t>LOS 5 days or less (134pt) (82.2%)</w:t>
            </w:r>
          </w:p>
        </w:tc>
        <w:tc>
          <w:tcPr>
            <w:tcW w:w="2131" w:type="dxa"/>
          </w:tcPr>
          <w:p w:rsidR="008D1D5A" w:rsidRDefault="008D1D5A" w:rsidP="00C66C56">
            <w:pPr>
              <w:jc w:val="right"/>
              <w:rPr>
                <w:rtl/>
              </w:rPr>
            </w:pPr>
            <w:r>
              <w:t xml:space="preserve">LOS &gt;5 days (29 </w:t>
            </w:r>
            <w:proofErr w:type="spellStart"/>
            <w:r>
              <w:t>pt</w:t>
            </w:r>
            <w:proofErr w:type="spellEnd"/>
            <w:r>
              <w:t>) (17.8%)</w:t>
            </w:r>
          </w:p>
        </w:tc>
        <w:tc>
          <w:tcPr>
            <w:tcW w:w="2131" w:type="dxa"/>
          </w:tcPr>
          <w:p w:rsidR="008D1D5A" w:rsidRDefault="008D1D5A" w:rsidP="00C66C56">
            <w:pPr>
              <w:jc w:val="center"/>
              <w:rPr>
                <w:rFonts w:ascii="Arial" w:hAnsi="Arial" w:cs="Arial"/>
                <w:color w:val="000000"/>
                <w:sz w:val="18"/>
                <w:szCs w:val="18"/>
                <w:rtl/>
              </w:rPr>
            </w:pPr>
          </w:p>
        </w:tc>
      </w:tr>
      <w:tr w:rsidR="008D1D5A" w:rsidTr="00C66C56">
        <w:tc>
          <w:tcPr>
            <w:tcW w:w="2130" w:type="dxa"/>
          </w:tcPr>
          <w:p w:rsidR="008D1D5A" w:rsidRDefault="008D1D5A" w:rsidP="00C66C56">
            <w:pPr>
              <w:bidi w:val="0"/>
            </w:pPr>
            <w:r w:rsidRPr="00EC1E21">
              <w:t>0.017</w:t>
            </w:r>
          </w:p>
        </w:tc>
        <w:tc>
          <w:tcPr>
            <w:tcW w:w="2130" w:type="dxa"/>
          </w:tcPr>
          <w:p w:rsidR="008D1D5A" w:rsidRDefault="008D1D5A" w:rsidP="00C95605">
            <w:pPr>
              <w:bidi w:val="0"/>
              <w:rPr>
                <w:rFonts w:ascii="Arial" w:hAnsi="Arial" w:cs="Arial"/>
                <w:color w:val="000000"/>
                <w:sz w:val="18"/>
                <w:szCs w:val="18"/>
              </w:rPr>
            </w:pPr>
            <w:r>
              <w:t>83/134 (6</w:t>
            </w:r>
            <w:r w:rsidR="00C95605">
              <w:t>2</w:t>
            </w:r>
            <w:r>
              <w:t>%)</w:t>
            </w:r>
          </w:p>
          <w:p w:rsidR="00C95605" w:rsidRDefault="00C95605" w:rsidP="00C95605">
            <w:pPr>
              <w:bidi w:val="0"/>
              <w:rPr>
                <w:rFonts w:ascii="Arial" w:hAnsi="Arial" w:cs="Arial"/>
                <w:color w:val="000000"/>
                <w:sz w:val="18"/>
                <w:szCs w:val="18"/>
              </w:rPr>
            </w:pPr>
            <w:r>
              <w:rPr>
                <w:rFonts w:ascii="Arial" w:hAnsi="Arial" w:cs="Arial"/>
                <w:color w:val="000000"/>
                <w:sz w:val="18"/>
                <w:szCs w:val="18"/>
              </w:rPr>
              <w:t>51/134(38%)</w:t>
            </w:r>
          </w:p>
        </w:tc>
        <w:tc>
          <w:tcPr>
            <w:tcW w:w="2131" w:type="dxa"/>
          </w:tcPr>
          <w:p w:rsidR="008D1D5A" w:rsidRDefault="008D1D5A" w:rsidP="00C95605">
            <w:pPr>
              <w:bidi w:val="0"/>
            </w:pPr>
            <w:r>
              <w:t>11/29 (3</w:t>
            </w:r>
            <w:r w:rsidR="00C95605">
              <w:t>8</w:t>
            </w:r>
            <w:r>
              <w:t>%)</w:t>
            </w:r>
          </w:p>
          <w:p w:rsidR="00C95605" w:rsidRDefault="00C95605" w:rsidP="00C95605">
            <w:pPr>
              <w:bidi w:val="0"/>
            </w:pPr>
            <w:r>
              <w:t>18/29(62%)</w:t>
            </w:r>
          </w:p>
        </w:tc>
        <w:tc>
          <w:tcPr>
            <w:tcW w:w="2131" w:type="dxa"/>
          </w:tcPr>
          <w:p w:rsidR="008D1D5A" w:rsidRDefault="008D1D5A" w:rsidP="00C95605">
            <w:pPr>
              <w:bidi w:val="0"/>
            </w:pPr>
            <w:r>
              <w:t xml:space="preserve">Male   (94 </w:t>
            </w:r>
            <w:proofErr w:type="spellStart"/>
            <w:r>
              <w:t>pt</w:t>
            </w:r>
            <w:proofErr w:type="spellEnd"/>
            <w:r>
              <w:t>) (No, %)</w:t>
            </w:r>
          </w:p>
          <w:p w:rsidR="00C95605" w:rsidRDefault="00C95605" w:rsidP="00C95605">
            <w:pPr>
              <w:bidi w:val="0"/>
            </w:pPr>
            <w:r>
              <w:t xml:space="preserve">Female (69 </w:t>
            </w:r>
            <w:proofErr w:type="spellStart"/>
            <w:r>
              <w:t>pt</w:t>
            </w:r>
            <w:proofErr w:type="spellEnd"/>
            <w:r>
              <w:t>)</w:t>
            </w:r>
          </w:p>
        </w:tc>
      </w:tr>
      <w:tr w:rsidR="008D1D5A" w:rsidTr="00C66C56">
        <w:tc>
          <w:tcPr>
            <w:tcW w:w="8522" w:type="dxa"/>
            <w:gridSpan w:val="4"/>
          </w:tcPr>
          <w:p w:rsidR="008D1D5A" w:rsidRPr="00703BA2" w:rsidRDefault="008D1D5A" w:rsidP="00C66C56">
            <w:pPr>
              <w:bidi w:val="0"/>
              <w:rPr>
                <w:rFonts w:ascii="Arial" w:hAnsi="Arial" w:cs="Arial"/>
                <w:b/>
                <w:bCs/>
                <w:color w:val="000000"/>
                <w:sz w:val="24"/>
                <w:szCs w:val="24"/>
              </w:rPr>
            </w:pPr>
            <w:r w:rsidRPr="00703BA2">
              <w:rPr>
                <w:rFonts w:ascii="Arial" w:hAnsi="Arial" w:cs="Arial"/>
                <w:b/>
                <w:bCs/>
                <w:color w:val="000000"/>
                <w:sz w:val="24"/>
                <w:szCs w:val="24"/>
              </w:rPr>
              <w:t>Nutrition status</w:t>
            </w:r>
          </w:p>
        </w:tc>
      </w:tr>
      <w:tr w:rsidR="008D1D5A" w:rsidTr="00C66C56">
        <w:tc>
          <w:tcPr>
            <w:tcW w:w="2130" w:type="dxa"/>
            <w:vMerge w:val="restart"/>
          </w:tcPr>
          <w:p w:rsidR="008D1D5A" w:rsidRDefault="008D1D5A" w:rsidP="00C66C56">
            <w:pPr>
              <w:jc w:val="right"/>
            </w:pPr>
            <w:r>
              <w:t>0.763</w:t>
            </w:r>
          </w:p>
        </w:tc>
        <w:tc>
          <w:tcPr>
            <w:tcW w:w="2130" w:type="dxa"/>
          </w:tcPr>
          <w:p w:rsidR="008D1D5A" w:rsidRDefault="008D1D5A" w:rsidP="00C66C56">
            <w:pPr>
              <w:jc w:val="right"/>
            </w:pPr>
            <w:r>
              <w:t>31/39(79.5%)</w:t>
            </w:r>
          </w:p>
        </w:tc>
        <w:tc>
          <w:tcPr>
            <w:tcW w:w="2131" w:type="dxa"/>
          </w:tcPr>
          <w:p w:rsidR="008D1D5A" w:rsidRDefault="008D1D5A" w:rsidP="00C66C56">
            <w:pPr>
              <w:bidi w:val="0"/>
            </w:pPr>
            <w:r>
              <w:t>8/39 (20.5%)</w:t>
            </w:r>
          </w:p>
        </w:tc>
        <w:tc>
          <w:tcPr>
            <w:tcW w:w="2131" w:type="dxa"/>
          </w:tcPr>
          <w:p w:rsidR="008D1D5A" w:rsidRDefault="008D1D5A" w:rsidP="00C66C56">
            <w:pPr>
              <w:jc w:val="right"/>
              <w:rPr>
                <w:rFonts w:ascii="Arial" w:hAnsi="Arial" w:cs="Arial"/>
                <w:color w:val="000000"/>
                <w:sz w:val="18"/>
                <w:szCs w:val="18"/>
              </w:rPr>
            </w:pPr>
            <w:r>
              <w:rPr>
                <w:rFonts w:ascii="Arial" w:hAnsi="Arial" w:cs="Arial"/>
                <w:color w:val="000000"/>
                <w:sz w:val="18"/>
                <w:szCs w:val="18"/>
              </w:rPr>
              <w:t xml:space="preserve">Underweight (39 </w:t>
            </w:r>
            <w:proofErr w:type="spellStart"/>
            <w:r>
              <w:rPr>
                <w:rFonts w:ascii="Arial" w:hAnsi="Arial" w:cs="Arial"/>
                <w:color w:val="000000"/>
                <w:sz w:val="18"/>
                <w:szCs w:val="18"/>
              </w:rPr>
              <w:t>pt</w:t>
            </w:r>
            <w:proofErr w:type="spellEnd"/>
            <w:r>
              <w:rPr>
                <w:rFonts w:ascii="Arial" w:hAnsi="Arial" w:cs="Arial"/>
                <w:color w:val="000000"/>
                <w:sz w:val="18"/>
                <w:szCs w:val="18"/>
              </w:rPr>
              <w:t xml:space="preserve">) </w:t>
            </w:r>
            <w:r>
              <w:t>(No,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bidi w:val="0"/>
            </w:pPr>
            <w:r>
              <w:t>62/74 (83.8%)</w:t>
            </w:r>
          </w:p>
        </w:tc>
        <w:tc>
          <w:tcPr>
            <w:tcW w:w="2131" w:type="dxa"/>
          </w:tcPr>
          <w:p w:rsidR="008D1D5A" w:rsidRDefault="008D1D5A" w:rsidP="00C66C56">
            <w:pPr>
              <w:bidi w:val="0"/>
            </w:pPr>
            <w:r>
              <w:t>12/74 (16.2%)</w:t>
            </w:r>
          </w:p>
        </w:tc>
        <w:tc>
          <w:tcPr>
            <w:tcW w:w="2131"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 xml:space="preserve">Normal (74 </w:t>
            </w:r>
            <w:proofErr w:type="spellStart"/>
            <w:r>
              <w:rPr>
                <w:rFonts w:ascii="Arial" w:hAnsi="Arial" w:cs="Arial"/>
                <w:color w:val="000000"/>
                <w:sz w:val="18"/>
                <w:szCs w:val="18"/>
              </w:rPr>
              <w:t>pt</w:t>
            </w:r>
            <w:proofErr w:type="spellEnd"/>
            <w:r>
              <w:rPr>
                <w:rFonts w:ascii="Arial" w:hAnsi="Arial" w:cs="Arial"/>
                <w:color w:val="000000"/>
                <w:sz w:val="18"/>
                <w:szCs w:val="18"/>
              </w:rPr>
              <w:t>)</w:t>
            </w:r>
            <w:r>
              <w:t xml:space="preserve">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bidi w:val="0"/>
              <w:jc w:val="both"/>
            </w:pPr>
            <w:r>
              <w:t>25/29 (86.2%)</w:t>
            </w:r>
          </w:p>
        </w:tc>
        <w:tc>
          <w:tcPr>
            <w:tcW w:w="2131" w:type="dxa"/>
          </w:tcPr>
          <w:p w:rsidR="008D1D5A" w:rsidRDefault="008D1D5A" w:rsidP="00C66C56">
            <w:pPr>
              <w:jc w:val="right"/>
            </w:pPr>
            <w:r>
              <w:t>4/29 (13.8%)</w:t>
            </w:r>
          </w:p>
        </w:tc>
        <w:tc>
          <w:tcPr>
            <w:tcW w:w="2131"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 xml:space="preserve">Overweight (29 </w:t>
            </w:r>
            <w:proofErr w:type="spellStart"/>
            <w:r>
              <w:rPr>
                <w:rFonts w:ascii="Arial" w:hAnsi="Arial" w:cs="Arial"/>
                <w:color w:val="000000"/>
                <w:sz w:val="18"/>
                <w:szCs w:val="18"/>
              </w:rPr>
              <w:t>pt</w:t>
            </w:r>
            <w:proofErr w:type="spellEnd"/>
            <w:r>
              <w:rPr>
                <w:rFonts w:ascii="Arial" w:hAnsi="Arial" w:cs="Arial"/>
                <w:color w:val="000000"/>
                <w:sz w:val="18"/>
                <w:szCs w:val="18"/>
              </w:rPr>
              <w:t>)</w:t>
            </w:r>
            <w:r>
              <w:t>(No, %</w:t>
            </w:r>
            <w:r>
              <w:rPr>
                <w:rFonts w:ascii="Arial" w:hAnsi="Arial" w:cs="Arial"/>
                <w:color w:val="000000"/>
                <w:sz w:val="18"/>
                <w:szCs w:val="18"/>
              </w:rPr>
              <w:t>)</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bidi w:val="0"/>
            </w:pPr>
            <w:r>
              <w:t>16/21 (76.2%)</w:t>
            </w:r>
          </w:p>
        </w:tc>
        <w:tc>
          <w:tcPr>
            <w:tcW w:w="2131" w:type="dxa"/>
          </w:tcPr>
          <w:p w:rsidR="008D1D5A" w:rsidRDefault="008D1D5A" w:rsidP="00C66C56">
            <w:pPr>
              <w:jc w:val="right"/>
            </w:pPr>
            <w:r>
              <w:t>5/21 (23.8%)</w:t>
            </w:r>
          </w:p>
        </w:tc>
        <w:tc>
          <w:tcPr>
            <w:tcW w:w="2131"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Obese</w:t>
            </w:r>
            <w:r>
              <w:t xml:space="preserve"> (21 </w:t>
            </w:r>
            <w:proofErr w:type="spellStart"/>
            <w:r>
              <w:t>pt</w:t>
            </w:r>
            <w:proofErr w:type="spellEnd"/>
            <w:r>
              <w:t>) (No, %)</w:t>
            </w:r>
          </w:p>
        </w:tc>
      </w:tr>
      <w:tr w:rsidR="008D1D5A" w:rsidTr="00C66C56">
        <w:tc>
          <w:tcPr>
            <w:tcW w:w="8522" w:type="dxa"/>
            <w:gridSpan w:val="4"/>
          </w:tcPr>
          <w:p w:rsidR="008D1D5A" w:rsidRPr="00703BA2" w:rsidRDefault="008D1D5A" w:rsidP="00C66C56">
            <w:pPr>
              <w:jc w:val="right"/>
              <w:rPr>
                <w:rFonts w:ascii="Arial" w:hAnsi="Arial" w:cs="Arial"/>
                <w:color w:val="000000"/>
                <w:sz w:val="24"/>
                <w:szCs w:val="24"/>
              </w:rPr>
            </w:pPr>
            <w:r w:rsidRPr="00703BA2">
              <w:rPr>
                <w:rFonts w:ascii="Arial" w:hAnsi="Arial" w:cs="Arial"/>
                <w:b/>
                <w:bCs/>
                <w:color w:val="000000"/>
                <w:sz w:val="24"/>
                <w:szCs w:val="24"/>
              </w:rPr>
              <w:t>Cause of admission</w:t>
            </w:r>
          </w:p>
        </w:tc>
      </w:tr>
      <w:tr w:rsidR="008D1D5A" w:rsidTr="00C66C56">
        <w:tc>
          <w:tcPr>
            <w:tcW w:w="2130" w:type="dxa"/>
            <w:vMerge w:val="restart"/>
          </w:tcPr>
          <w:p w:rsidR="008D1D5A" w:rsidRDefault="008D1D5A" w:rsidP="00C66C56">
            <w:pPr>
              <w:jc w:val="right"/>
              <w:rPr>
                <w:rtl/>
              </w:rPr>
            </w:pPr>
            <w:r>
              <w:t>0.152</w:t>
            </w:r>
          </w:p>
        </w:tc>
        <w:tc>
          <w:tcPr>
            <w:tcW w:w="2130" w:type="dxa"/>
          </w:tcPr>
          <w:p w:rsidR="008D1D5A" w:rsidRDefault="008D1D5A" w:rsidP="00C66C56">
            <w:pPr>
              <w:jc w:val="right"/>
            </w:pPr>
            <w:r>
              <w:t>27/36 (75%)</w:t>
            </w:r>
          </w:p>
        </w:tc>
        <w:tc>
          <w:tcPr>
            <w:tcW w:w="2131" w:type="dxa"/>
          </w:tcPr>
          <w:p w:rsidR="008D1D5A" w:rsidRDefault="008D1D5A" w:rsidP="00C66C56">
            <w:pPr>
              <w:jc w:val="right"/>
              <w:rPr>
                <w:rtl/>
              </w:rPr>
            </w:pPr>
            <w:r>
              <w:t>9/36(25%)</w:t>
            </w:r>
          </w:p>
        </w:tc>
        <w:tc>
          <w:tcPr>
            <w:tcW w:w="2131" w:type="dxa"/>
          </w:tcPr>
          <w:p w:rsidR="008D1D5A" w:rsidRDefault="008D1D5A" w:rsidP="00C66C56">
            <w:pPr>
              <w:jc w:val="right"/>
              <w:rPr>
                <w:rFonts w:ascii="Arial" w:hAnsi="Arial" w:cs="Arial"/>
                <w:color w:val="000000"/>
                <w:sz w:val="18"/>
                <w:szCs w:val="18"/>
              </w:rPr>
            </w:pPr>
            <w:r>
              <w:rPr>
                <w:rFonts w:ascii="Arial" w:hAnsi="Arial" w:cs="Arial"/>
                <w:color w:val="000000"/>
                <w:sz w:val="18"/>
                <w:szCs w:val="18"/>
              </w:rPr>
              <w:t xml:space="preserve">Gastroenterology </w:t>
            </w:r>
            <w:r>
              <w:t xml:space="preserve">(36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jc w:val="right"/>
            </w:pPr>
            <w:r>
              <w:t>61/72 (84.7%)</w:t>
            </w:r>
          </w:p>
        </w:tc>
        <w:tc>
          <w:tcPr>
            <w:tcW w:w="2131" w:type="dxa"/>
          </w:tcPr>
          <w:p w:rsidR="008D1D5A" w:rsidRDefault="008D1D5A" w:rsidP="00C66C56">
            <w:pPr>
              <w:jc w:val="right"/>
            </w:pPr>
            <w:r>
              <w:t>11/72 (15.3%)</w:t>
            </w:r>
          </w:p>
        </w:tc>
        <w:tc>
          <w:tcPr>
            <w:tcW w:w="2131" w:type="dxa"/>
          </w:tcPr>
          <w:p w:rsidR="008D1D5A" w:rsidRDefault="008D1D5A" w:rsidP="00C66C56">
            <w:pPr>
              <w:bidi w:val="0"/>
              <w:rPr>
                <w:rFonts w:ascii="Arial" w:hAnsi="Arial" w:cs="Arial"/>
                <w:color w:val="000000"/>
                <w:sz w:val="18"/>
                <w:szCs w:val="18"/>
              </w:rPr>
            </w:pPr>
            <w:r>
              <w:rPr>
                <w:rFonts w:ascii="Arial" w:hAnsi="Arial" w:cs="Arial"/>
                <w:color w:val="000000"/>
                <w:sz w:val="18"/>
                <w:szCs w:val="18"/>
              </w:rPr>
              <w:t xml:space="preserve">Respiratory </w:t>
            </w:r>
            <w:r>
              <w:t xml:space="preserve">(72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jc w:val="right"/>
            </w:pPr>
            <w:r>
              <w:t>17/18(94.4%)</w:t>
            </w:r>
          </w:p>
        </w:tc>
        <w:tc>
          <w:tcPr>
            <w:tcW w:w="2131" w:type="dxa"/>
          </w:tcPr>
          <w:p w:rsidR="008D1D5A" w:rsidRDefault="008D1D5A" w:rsidP="00C66C56">
            <w:pPr>
              <w:jc w:val="right"/>
            </w:pPr>
            <w:r>
              <w:t>1/18 (5.6%)</w:t>
            </w:r>
          </w:p>
        </w:tc>
        <w:tc>
          <w:tcPr>
            <w:tcW w:w="2131" w:type="dxa"/>
          </w:tcPr>
          <w:p w:rsidR="008D1D5A" w:rsidRDefault="008D1D5A" w:rsidP="00C66C56">
            <w:pPr>
              <w:jc w:val="right"/>
              <w:rPr>
                <w:rFonts w:ascii="Arial" w:hAnsi="Arial" w:cs="Arial"/>
                <w:color w:val="000000"/>
                <w:sz w:val="18"/>
                <w:szCs w:val="18"/>
              </w:rPr>
            </w:pPr>
            <w:r>
              <w:rPr>
                <w:rFonts w:ascii="Arial" w:hAnsi="Arial" w:cs="Arial"/>
                <w:color w:val="000000"/>
                <w:sz w:val="18"/>
                <w:szCs w:val="18"/>
              </w:rPr>
              <w:t xml:space="preserve">Neurology </w:t>
            </w:r>
            <w:r>
              <w:t xml:space="preserve">(18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jc w:val="right"/>
            </w:pPr>
            <w:r>
              <w:t>16/17 (94.1%)</w:t>
            </w:r>
          </w:p>
        </w:tc>
        <w:tc>
          <w:tcPr>
            <w:tcW w:w="2131" w:type="dxa"/>
          </w:tcPr>
          <w:p w:rsidR="008D1D5A" w:rsidRDefault="008D1D5A" w:rsidP="00C66C56">
            <w:pPr>
              <w:jc w:val="right"/>
            </w:pPr>
            <w:r>
              <w:t>1/17(5.9%)</w:t>
            </w:r>
          </w:p>
        </w:tc>
        <w:tc>
          <w:tcPr>
            <w:tcW w:w="2131" w:type="dxa"/>
          </w:tcPr>
          <w:p w:rsidR="008D1D5A" w:rsidRDefault="008D1D5A" w:rsidP="00C66C56">
            <w:pPr>
              <w:jc w:val="right"/>
              <w:rPr>
                <w:rFonts w:ascii="Arial" w:hAnsi="Arial" w:cs="Arial"/>
                <w:color w:val="000000"/>
                <w:sz w:val="18"/>
                <w:szCs w:val="18"/>
              </w:rPr>
            </w:pPr>
            <w:r>
              <w:rPr>
                <w:rFonts w:ascii="Arial" w:hAnsi="Arial" w:cs="Arial"/>
                <w:color w:val="000000"/>
                <w:sz w:val="18"/>
                <w:szCs w:val="18"/>
              </w:rPr>
              <w:t xml:space="preserve">Diabetics </w:t>
            </w:r>
            <w:r>
              <w:t xml:space="preserve">(17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jc w:val="right"/>
            </w:pPr>
            <w:r>
              <w:t>13/20 (65%)</w:t>
            </w:r>
          </w:p>
        </w:tc>
        <w:tc>
          <w:tcPr>
            <w:tcW w:w="2131" w:type="dxa"/>
          </w:tcPr>
          <w:p w:rsidR="008D1D5A" w:rsidRDefault="008D1D5A" w:rsidP="00C66C56">
            <w:pPr>
              <w:jc w:val="right"/>
            </w:pPr>
            <w:r>
              <w:t>7/20 (35%)</w:t>
            </w:r>
          </w:p>
        </w:tc>
        <w:tc>
          <w:tcPr>
            <w:tcW w:w="2131" w:type="dxa"/>
          </w:tcPr>
          <w:p w:rsidR="008D1D5A" w:rsidRDefault="008D1D5A" w:rsidP="00C66C56">
            <w:pPr>
              <w:jc w:val="right"/>
              <w:rPr>
                <w:rFonts w:ascii="Arial" w:hAnsi="Arial" w:cs="Arial"/>
                <w:color w:val="000000"/>
                <w:sz w:val="18"/>
                <w:szCs w:val="18"/>
              </w:rPr>
            </w:pPr>
            <w:r>
              <w:rPr>
                <w:rFonts w:ascii="Arial" w:hAnsi="Arial" w:cs="Arial"/>
                <w:color w:val="000000"/>
                <w:sz w:val="18"/>
                <w:szCs w:val="18"/>
              </w:rPr>
              <w:t xml:space="preserve">Others </w:t>
            </w:r>
            <w:r>
              <w:t xml:space="preserve">(20 </w:t>
            </w:r>
            <w:proofErr w:type="spellStart"/>
            <w:r>
              <w:t>pt</w:t>
            </w:r>
            <w:proofErr w:type="spellEnd"/>
            <w:r>
              <w:t>) (No, %)</w:t>
            </w:r>
          </w:p>
        </w:tc>
      </w:tr>
      <w:tr w:rsidR="008D1D5A" w:rsidTr="00C66C56">
        <w:tc>
          <w:tcPr>
            <w:tcW w:w="6391" w:type="dxa"/>
            <w:gridSpan w:val="3"/>
          </w:tcPr>
          <w:p w:rsidR="008D1D5A" w:rsidRDefault="008D1D5A" w:rsidP="00C66C56">
            <w:pPr>
              <w:jc w:val="right"/>
            </w:pPr>
          </w:p>
        </w:tc>
        <w:tc>
          <w:tcPr>
            <w:tcW w:w="2131" w:type="dxa"/>
          </w:tcPr>
          <w:p w:rsidR="008D1D5A" w:rsidRPr="00F96E7D" w:rsidRDefault="008D1D5A" w:rsidP="00C66C56">
            <w:pPr>
              <w:jc w:val="right"/>
              <w:rPr>
                <w:rFonts w:ascii="Arial" w:hAnsi="Arial" w:cs="Arial"/>
                <w:b/>
                <w:bCs/>
                <w:color w:val="000000"/>
                <w:sz w:val="18"/>
                <w:szCs w:val="18"/>
              </w:rPr>
            </w:pPr>
            <w:r w:rsidRPr="00F96E7D">
              <w:rPr>
                <w:rFonts w:ascii="Arial" w:hAnsi="Arial" w:cs="Arial"/>
                <w:b/>
                <w:bCs/>
                <w:color w:val="000000"/>
                <w:sz w:val="24"/>
                <w:szCs w:val="24"/>
              </w:rPr>
              <w:t>Nationality</w:t>
            </w:r>
          </w:p>
        </w:tc>
      </w:tr>
      <w:tr w:rsidR="008D1D5A" w:rsidTr="00C66C56">
        <w:tc>
          <w:tcPr>
            <w:tcW w:w="2130" w:type="dxa"/>
            <w:vMerge w:val="restart"/>
          </w:tcPr>
          <w:p w:rsidR="008D1D5A" w:rsidRDefault="008D1D5A" w:rsidP="00C66C56">
            <w:pPr>
              <w:jc w:val="right"/>
              <w:rPr>
                <w:rtl/>
              </w:rPr>
            </w:pPr>
            <w:r>
              <w:t>0.593</w:t>
            </w:r>
          </w:p>
        </w:tc>
        <w:tc>
          <w:tcPr>
            <w:tcW w:w="2130" w:type="dxa"/>
          </w:tcPr>
          <w:p w:rsidR="008D1D5A" w:rsidRDefault="008D1D5A" w:rsidP="00C66C56">
            <w:pPr>
              <w:jc w:val="right"/>
            </w:pPr>
            <w:r>
              <w:t>36/42 (85.7%)</w:t>
            </w:r>
          </w:p>
        </w:tc>
        <w:tc>
          <w:tcPr>
            <w:tcW w:w="2131" w:type="dxa"/>
          </w:tcPr>
          <w:p w:rsidR="008D1D5A" w:rsidRDefault="008D1D5A" w:rsidP="00C66C56">
            <w:pPr>
              <w:jc w:val="right"/>
              <w:rPr>
                <w:rtl/>
              </w:rPr>
            </w:pPr>
            <w:r>
              <w:t>6/42 (14.3%)</w:t>
            </w:r>
          </w:p>
        </w:tc>
        <w:tc>
          <w:tcPr>
            <w:tcW w:w="213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Arabic (42</w:t>
            </w:r>
            <w:r>
              <w:t xml:space="preserve">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bidi w:val="0"/>
            </w:pPr>
            <w:r>
              <w:t>4/5 (80%)</w:t>
            </w:r>
          </w:p>
        </w:tc>
        <w:tc>
          <w:tcPr>
            <w:tcW w:w="2131" w:type="dxa"/>
          </w:tcPr>
          <w:p w:rsidR="008D1D5A" w:rsidRDefault="008D1D5A" w:rsidP="00C66C56">
            <w:pPr>
              <w:bidi w:val="0"/>
            </w:pPr>
            <w:r>
              <w:t>1/5 (20%)</w:t>
            </w:r>
          </w:p>
        </w:tc>
        <w:tc>
          <w:tcPr>
            <w:tcW w:w="213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African (5</w:t>
            </w:r>
            <w:r>
              <w:t xml:space="preserve">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bidi w:val="0"/>
            </w:pPr>
            <w:r>
              <w:t>44/52 (84.6%)</w:t>
            </w:r>
          </w:p>
        </w:tc>
        <w:tc>
          <w:tcPr>
            <w:tcW w:w="2131" w:type="dxa"/>
          </w:tcPr>
          <w:p w:rsidR="008D1D5A" w:rsidRDefault="008D1D5A" w:rsidP="00C66C56">
            <w:pPr>
              <w:bidi w:val="0"/>
            </w:pPr>
            <w:r>
              <w:t>8/52 (15.4%)</w:t>
            </w:r>
          </w:p>
        </w:tc>
        <w:tc>
          <w:tcPr>
            <w:tcW w:w="213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South Asian(52</w:t>
            </w:r>
            <w:r>
              <w:t xml:space="preserve">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bidi w:val="0"/>
            </w:pPr>
            <w:r>
              <w:t>28/38 (73.7%)</w:t>
            </w:r>
          </w:p>
        </w:tc>
        <w:tc>
          <w:tcPr>
            <w:tcW w:w="2131" w:type="dxa"/>
          </w:tcPr>
          <w:p w:rsidR="008D1D5A" w:rsidRDefault="008D1D5A" w:rsidP="00C66C56">
            <w:pPr>
              <w:bidi w:val="0"/>
            </w:pPr>
            <w:r>
              <w:t>10/38 (26.3%)</w:t>
            </w:r>
          </w:p>
        </w:tc>
        <w:tc>
          <w:tcPr>
            <w:tcW w:w="213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S. E. Asian (38</w:t>
            </w:r>
            <w:r>
              <w:t xml:space="preserve">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bidi w:val="0"/>
            </w:pPr>
            <w:r>
              <w:t>17/19 (89.5%)</w:t>
            </w:r>
          </w:p>
        </w:tc>
        <w:tc>
          <w:tcPr>
            <w:tcW w:w="2131" w:type="dxa"/>
          </w:tcPr>
          <w:p w:rsidR="008D1D5A" w:rsidRDefault="008D1D5A" w:rsidP="00C66C56">
            <w:pPr>
              <w:bidi w:val="0"/>
            </w:pPr>
            <w:r>
              <w:t>2/19 (10.5%)</w:t>
            </w:r>
          </w:p>
        </w:tc>
        <w:tc>
          <w:tcPr>
            <w:tcW w:w="213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Central Asian(19)</w:t>
            </w:r>
            <w:r>
              <w:t xml:space="preserve"> (</w:t>
            </w:r>
            <w:proofErr w:type="spellStart"/>
            <w:r>
              <w:t>pt</w:t>
            </w:r>
            <w:proofErr w:type="spellEnd"/>
            <w:r>
              <w:t>) (No, %)</w:t>
            </w:r>
          </w:p>
        </w:tc>
      </w:tr>
      <w:tr w:rsidR="008D1D5A" w:rsidTr="00C66C56">
        <w:tc>
          <w:tcPr>
            <w:tcW w:w="2130" w:type="dxa"/>
            <w:vMerge/>
          </w:tcPr>
          <w:p w:rsidR="008D1D5A" w:rsidRDefault="008D1D5A" w:rsidP="00C66C56">
            <w:pPr>
              <w:jc w:val="right"/>
              <w:rPr>
                <w:rtl/>
              </w:rPr>
            </w:pPr>
          </w:p>
        </w:tc>
        <w:tc>
          <w:tcPr>
            <w:tcW w:w="2130" w:type="dxa"/>
          </w:tcPr>
          <w:p w:rsidR="008D1D5A" w:rsidRDefault="008D1D5A" w:rsidP="00C66C56">
            <w:pPr>
              <w:bidi w:val="0"/>
            </w:pPr>
            <w:r>
              <w:t>5/7 (71.4%)</w:t>
            </w:r>
          </w:p>
        </w:tc>
        <w:tc>
          <w:tcPr>
            <w:tcW w:w="2131" w:type="dxa"/>
          </w:tcPr>
          <w:p w:rsidR="008D1D5A" w:rsidRDefault="008D1D5A" w:rsidP="00C66C56">
            <w:pPr>
              <w:bidi w:val="0"/>
            </w:pPr>
            <w:r>
              <w:t>2/7 (28.6%)</w:t>
            </w:r>
          </w:p>
        </w:tc>
        <w:tc>
          <w:tcPr>
            <w:tcW w:w="213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Others (7)</w:t>
            </w:r>
            <w:r>
              <w:t xml:space="preserve"> (</w:t>
            </w:r>
            <w:proofErr w:type="spellStart"/>
            <w:r>
              <w:t>pt</w:t>
            </w:r>
            <w:proofErr w:type="spellEnd"/>
            <w:r>
              <w:t>) (No, %)</w:t>
            </w:r>
          </w:p>
        </w:tc>
      </w:tr>
    </w:tbl>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r>
        <w:rPr>
          <w:rFonts w:ascii="Arial" w:hAnsi="Arial" w:cs="Arial"/>
          <w:b/>
          <w:bCs/>
          <w:color w:val="000000"/>
          <w:sz w:val="18"/>
          <w:szCs w:val="18"/>
        </w:rPr>
        <w:lastRenderedPageBreak/>
        <w:t xml:space="preserve">Table (3): Comparison between patients according to nationality and cause of admission.. </w:t>
      </w: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tbl>
      <w:tblPr>
        <w:tblStyle w:val="a3"/>
        <w:tblW w:w="8613" w:type="dxa"/>
        <w:tblLayout w:type="fixed"/>
        <w:tblLook w:val="04A0" w:firstRow="1" w:lastRow="0" w:firstColumn="1" w:lastColumn="0" w:noHBand="0" w:noVBand="1"/>
      </w:tblPr>
      <w:tblGrid>
        <w:gridCol w:w="1242"/>
        <w:gridCol w:w="1134"/>
        <w:gridCol w:w="1130"/>
        <w:gridCol w:w="1138"/>
        <w:gridCol w:w="1134"/>
        <w:gridCol w:w="851"/>
        <w:gridCol w:w="992"/>
        <w:gridCol w:w="992"/>
      </w:tblGrid>
      <w:tr w:rsidR="008D1D5A" w:rsidTr="00C66C56">
        <w:tc>
          <w:tcPr>
            <w:tcW w:w="124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parameter</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South Asian (52pt) 31.9%</w:t>
            </w:r>
          </w:p>
        </w:tc>
        <w:tc>
          <w:tcPr>
            <w:tcW w:w="1130"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Arabic (42pt)</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25.8%</w:t>
            </w:r>
          </w:p>
        </w:tc>
        <w:tc>
          <w:tcPr>
            <w:tcW w:w="1138"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S. E. Asian</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(38pt)</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23.3%</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Central Asian(19pt) 11.7%</w:t>
            </w:r>
          </w:p>
        </w:tc>
        <w:tc>
          <w:tcPr>
            <w:tcW w:w="851" w:type="dxa"/>
          </w:tcPr>
          <w:p w:rsidR="008D1D5A" w:rsidRPr="005157A1" w:rsidRDefault="008D1D5A" w:rsidP="00C66C56">
            <w:pPr>
              <w:autoSpaceDE w:val="0"/>
              <w:autoSpaceDN w:val="0"/>
              <w:bidi w:val="0"/>
              <w:adjustRightInd w:val="0"/>
              <w:spacing w:line="400" w:lineRule="atLeast"/>
              <w:rPr>
                <w:rFonts w:ascii="Arial" w:hAnsi="Arial" w:cs="Arial"/>
                <w:b/>
                <w:bCs/>
                <w:i/>
                <w:iCs/>
                <w:color w:val="000000"/>
                <w:sz w:val="18"/>
                <w:szCs w:val="18"/>
              </w:rPr>
            </w:pPr>
            <w:r w:rsidRPr="005157A1">
              <w:rPr>
                <w:rFonts w:ascii="Arial" w:hAnsi="Arial" w:cs="Arial"/>
                <w:b/>
                <w:bCs/>
                <w:i/>
                <w:iCs/>
                <w:color w:val="000000"/>
                <w:sz w:val="18"/>
                <w:szCs w:val="18"/>
              </w:rPr>
              <w:t>African (7pt)</w:t>
            </w:r>
          </w:p>
          <w:p w:rsidR="008D1D5A" w:rsidRPr="005157A1" w:rsidRDefault="008D1D5A" w:rsidP="00C66C56">
            <w:pPr>
              <w:autoSpaceDE w:val="0"/>
              <w:autoSpaceDN w:val="0"/>
              <w:bidi w:val="0"/>
              <w:adjustRightInd w:val="0"/>
              <w:spacing w:line="400" w:lineRule="atLeast"/>
              <w:rPr>
                <w:rFonts w:ascii="Arial" w:hAnsi="Arial" w:cs="Arial"/>
                <w:b/>
                <w:bCs/>
                <w:i/>
                <w:iCs/>
                <w:color w:val="000000"/>
                <w:sz w:val="18"/>
                <w:szCs w:val="18"/>
              </w:rPr>
            </w:pPr>
            <w:r w:rsidRPr="005157A1">
              <w:rPr>
                <w:rFonts w:ascii="Arial" w:hAnsi="Arial" w:cs="Arial"/>
                <w:b/>
                <w:bCs/>
                <w:i/>
                <w:iCs/>
                <w:color w:val="000000"/>
                <w:sz w:val="18"/>
                <w:szCs w:val="18"/>
              </w:rPr>
              <w:t>4.3%</w:t>
            </w:r>
          </w:p>
        </w:tc>
        <w:tc>
          <w:tcPr>
            <w:tcW w:w="992" w:type="dxa"/>
          </w:tcPr>
          <w:p w:rsidR="008D1D5A" w:rsidRPr="005157A1" w:rsidRDefault="008D1D5A" w:rsidP="00C66C56">
            <w:pPr>
              <w:autoSpaceDE w:val="0"/>
              <w:autoSpaceDN w:val="0"/>
              <w:bidi w:val="0"/>
              <w:adjustRightInd w:val="0"/>
              <w:spacing w:line="400" w:lineRule="atLeast"/>
              <w:rPr>
                <w:rFonts w:ascii="Arial" w:hAnsi="Arial" w:cs="Arial"/>
                <w:b/>
                <w:bCs/>
                <w:i/>
                <w:iCs/>
                <w:color w:val="000000"/>
                <w:sz w:val="18"/>
                <w:szCs w:val="18"/>
              </w:rPr>
            </w:pPr>
            <w:r w:rsidRPr="005157A1">
              <w:rPr>
                <w:rFonts w:ascii="Arial" w:hAnsi="Arial" w:cs="Arial"/>
                <w:b/>
                <w:bCs/>
                <w:i/>
                <w:iCs/>
                <w:color w:val="000000"/>
                <w:sz w:val="18"/>
                <w:szCs w:val="18"/>
              </w:rPr>
              <w:t>Others (5pt)</w:t>
            </w:r>
          </w:p>
          <w:p w:rsidR="008D1D5A" w:rsidRPr="005157A1" w:rsidRDefault="008D1D5A" w:rsidP="00C66C56">
            <w:pPr>
              <w:autoSpaceDE w:val="0"/>
              <w:autoSpaceDN w:val="0"/>
              <w:bidi w:val="0"/>
              <w:adjustRightInd w:val="0"/>
              <w:spacing w:line="400" w:lineRule="atLeast"/>
              <w:rPr>
                <w:rFonts w:ascii="Arial" w:hAnsi="Arial" w:cs="Arial"/>
                <w:b/>
                <w:bCs/>
                <w:i/>
                <w:iCs/>
                <w:color w:val="000000"/>
                <w:sz w:val="18"/>
                <w:szCs w:val="18"/>
              </w:rPr>
            </w:pPr>
            <w:r w:rsidRPr="005157A1">
              <w:rPr>
                <w:rFonts w:ascii="Arial" w:hAnsi="Arial" w:cs="Arial"/>
                <w:b/>
                <w:bCs/>
                <w:i/>
                <w:iCs/>
                <w:color w:val="000000"/>
                <w:sz w:val="18"/>
                <w:szCs w:val="18"/>
              </w:rPr>
              <w:t>3.1%</w:t>
            </w:r>
          </w:p>
        </w:tc>
        <w:tc>
          <w:tcPr>
            <w:tcW w:w="992" w:type="dxa"/>
          </w:tcPr>
          <w:p w:rsidR="008D1D5A" w:rsidRPr="005157A1" w:rsidRDefault="008D1D5A" w:rsidP="00C66C56">
            <w:pPr>
              <w:autoSpaceDE w:val="0"/>
              <w:autoSpaceDN w:val="0"/>
              <w:bidi w:val="0"/>
              <w:adjustRightInd w:val="0"/>
              <w:spacing w:line="400" w:lineRule="atLeast"/>
              <w:rPr>
                <w:rFonts w:ascii="Arial" w:hAnsi="Arial" w:cs="Arial"/>
                <w:b/>
                <w:bCs/>
                <w:i/>
                <w:iCs/>
                <w:color w:val="000000"/>
                <w:sz w:val="18"/>
                <w:szCs w:val="18"/>
              </w:rPr>
            </w:pPr>
            <w:r>
              <w:rPr>
                <w:rFonts w:ascii="Arial" w:hAnsi="Arial" w:cs="Arial"/>
                <w:b/>
                <w:bCs/>
                <w:color w:val="000000"/>
                <w:sz w:val="18"/>
                <w:szCs w:val="18"/>
              </w:rPr>
              <w:t>P value</w:t>
            </w:r>
          </w:p>
        </w:tc>
      </w:tr>
      <w:tr w:rsidR="008D1D5A" w:rsidTr="00C66C56">
        <w:tc>
          <w:tcPr>
            <w:tcW w:w="124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Gastroenterology </w:t>
            </w:r>
            <w:r>
              <w:t xml:space="preserve">(36 </w:t>
            </w:r>
            <w:proofErr w:type="spellStart"/>
            <w:r>
              <w:t>pt</w:t>
            </w:r>
            <w:proofErr w:type="spellEnd"/>
            <w:r>
              <w:t>) (No, %)</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10/ 52  (19.2%)</w:t>
            </w:r>
          </w:p>
        </w:tc>
        <w:tc>
          <w:tcPr>
            <w:tcW w:w="1130"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9/ 42</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(%21.4)</w:t>
            </w:r>
          </w:p>
        </w:tc>
        <w:tc>
          <w:tcPr>
            <w:tcW w:w="1138"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12/ 38 (31.6%)</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3/19 (15.8%)</w:t>
            </w:r>
          </w:p>
        </w:tc>
        <w:tc>
          <w:tcPr>
            <w:tcW w:w="85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1/7 (14.3%)</w:t>
            </w:r>
          </w:p>
        </w:tc>
        <w:tc>
          <w:tcPr>
            <w:tcW w:w="99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 5 (20%)</w:t>
            </w:r>
          </w:p>
        </w:tc>
        <w:tc>
          <w:tcPr>
            <w:tcW w:w="992" w:type="dxa"/>
            <w:vMerge w:val="restart"/>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Per chi </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p 0.001</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p>
        </w:tc>
      </w:tr>
      <w:tr w:rsidR="008D1D5A" w:rsidTr="00C66C56">
        <w:tc>
          <w:tcPr>
            <w:tcW w:w="124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Respiratory </w:t>
            </w:r>
            <w:r>
              <w:t xml:space="preserve">(72 </w:t>
            </w:r>
            <w:proofErr w:type="spellStart"/>
            <w:r>
              <w:t>pt</w:t>
            </w:r>
            <w:proofErr w:type="spellEnd"/>
            <w:r>
              <w:t>) (No, %)</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24/52 (46.1%)</w:t>
            </w:r>
          </w:p>
        </w:tc>
        <w:tc>
          <w:tcPr>
            <w:tcW w:w="1130"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14/42 (33.3%)</w:t>
            </w:r>
          </w:p>
        </w:tc>
        <w:tc>
          <w:tcPr>
            <w:tcW w:w="1138"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18/38 (47.4%)</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9/19 (47.4%)</w:t>
            </w:r>
          </w:p>
        </w:tc>
        <w:tc>
          <w:tcPr>
            <w:tcW w:w="85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5/7 </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(71.4%)</w:t>
            </w:r>
          </w:p>
        </w:tc>
        <w:tc>
          <w:tcPr>
            <w:tcW w:w="99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2/5 (40%)</w:t>
            </w:r>
          </w:p>
        </w:tc>
        <w:tc>
          <w:tcPr>
            <w:tcW w:w="992" w:type="dxa"/>
            <w:vMerge/>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p>
        </w:tc>
      </w:tr>
      <w:tr w:rsidR="008D1D5A" w:rsidTr="00C66C56">
        <w:tc>
          <w:tcPr>
            <w:tcW w:w="124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Neurology </w:t>
            </w:r>
            <w:r>
              <w:t xml:space="preserve">(18 </w:t>
            </w:r>
            <w:proofErr w:type="spellStart"/>
            <w:r>
              <w:t>pt</w:t>
            </w:r>
            <w:proofErr w:type="spellEnd"/>
            <w:r>
              <w:t>) (No, %)</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4/52 (7.7%)</w:t>
            </w:r>
          </w:p>
        </w:tc>
        <w:tc>
          <w:tcPr>
            <w:tcW w:w="1130"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9/42 </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(21.4%)</w:t>
            </w:r>
          </w:p>
        </w:tc>
        <w:tc>
          <w:tcPr>
            <w:tcW w:w="1138"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0/38</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 (0%)</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4/19 (21.1%)</w:t>
            </w:r>
          </w:p>
        </w:tc>
        <w:tc>
          <w:tcPr>
            <w:tcW w:w="85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0/7</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 (0%)</w:t>
            </w:r>
          </w:p>
        </w:tc>
        <w:tc>
          <w:tcPr>
            <w:tcW w:w="99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1/5 (20%)</w:t>
            </w:r>
          </w:p>
        </w:tc>
        <w:tc>
          <w:tcPr>
            <w:tcW w:w="992" w:type="dxa"/>
            <w:vMerge/>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p>
        </w:tc>
      </w:tr>
      <w:tr w:rsidR="008D1D5A" w:rsidTr="00C66C56">
        <w:tc>
          <w:tcPr>
            <w:tcW w:w="124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Diabetics</w:t>
            </w:r>
            <w:r>
              <w:t xml:space="preserve"> (17 </w:t>
            </w:r>
            <w:proofErr w:type="spellStart"/>
            <w:r>
              <w:t>pt</w:t>
            </w:r>
            <w:proofErr w:type="spellEnd"/>
            <w:r>
              <w:t>) (No, %)</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7/52 (13.5%)</w:t>
            </w:r>
          </w:p>
        </w:tc>
        <w:tc>
          <w:tcPr>
            <w:tcW w:w="1130"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7/42 (16.7%)</w:t>
            </w:r>
          </w:p>
        </w:tc>
        <w:tc>
          <w:tcPr>
            <w:tcW w:w="1138"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2/38</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 (5.2%)</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1/19</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(5.3%)</w:t>
            </w:r>
          </w:p>
        </w:tc>
        <w:tc>
          <w:tcPr>
            <w:tcW w:w="85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0/7 </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(0%)</w:t>
            </w:r>
          </w:p>
        </w:tc>
        <w:tc>
          <w:tcPr>
            <w:tcW w:w="99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0/5 </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(0%)</w:t>
            </w:r>
          </w:p>
        </w:tc>
        <w:tc>
          <w:tcPr>
            <w:tcW w:w="992" w:type="dxa"/>
            <w:vMerge/>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p>
        </w:tc>
      </w:tr>
      <w:tr w:rsidR="008D1D5A" w:rsidTr="00C66C56">
        <w:tc>
          <w:tcPr>
            <w:tcW w:w="124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Others </w:t>
            </w:r>
            <w:r>
              <w:t xml:space="preserve">(20 </w:t>
            </w:r>
            <w:proofErr w:type="spellStart"/>
            <w:r>
              <w:t>pt</w:t>
            </w:r>
            <w:proofErr w:type="spellEnd"/>
            <w:r>
              <w:t>) (No, %)</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7/52</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(13.5%)</w:t>
            </w:r>
          </w:p>
        </w:tc>
        <w:tc>
          <w:tcPr>
            <w:tcW w:w="1130"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 xml:space="preserve">3/42 </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(7.2%)</w:t>
            </w:r>
          </w:p>
        </w:tc>
        <w:tc>
          <w:tcPr>
            <w:tcW w:w="1138"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6/38</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(15.8%)</w:t>
            </w:r>
          </w:p>
        </w:tc>
        <w:tc>
          <w:tcPr>
            <w:tcW w:w="1134"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2/19</w:t>
            </w:r>
          </w:p>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(10.5%)</w:t>
            </w:r>
          </w:p>
        </w:tc>
        <w:tc>
          <w:tcPr>
            <w:tcW w:w="851"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1/7 (14.3%)</w:t>
            </w:r>
          </w:p>
        </w:tc>
        <w:tc>
          <w:tcPr>
            <w:tcW w:w="992" w:type="dxa"/>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r>
              <w:rPr>
                <w:rFonts w:ascii="Arial" w:hAnsi="Arial" w:cs="Arial"/>
                <w:b/>
                <w:bCs/>
                <w:color w:val="000000"/>
                <w:sz w:val="18"/>
                <w:szCs w:val="18"/>
              </w:rPr>
              <w:t>1/5 (20%)</w:t>
            </w:r>
          </w:p>
        </w:tc>
        <w:tc>
          <w:tcPr>
            <w:tcW w:w="992" w:type="dxa"/>
            <w:vMerge/>
          </w:tcPr>
          <w:p w:rsidR="008D1D5A" w:rsidRDefault="008D1D5A" w:rsidP="00C66C56">
            <w:pPr>
              <w:autoSpaceDE w:val="0"/>
              <w:autoSpaceDN w:val="0"/>
              <w:bidi w:val="0"/>
              <w:adjustRightInd w:val="0"/>
              <w:spacing w:line="400" w:lineRule="atLeast"/>
              <w:rPr>
                <w:rFonts w:ascii="Arial" w:hAnsi="Arial" w:cs="Arial"/>
                <w:b/>
                <w:bCs/>
                <w:color w:val="000000"/>
                <w:sz w:val="18"/>
                <w:szCs w:val="18"/>
              </w:rPr>
            </w:pPr>
          </w:p>
        </w:tc>
      </w:tr>
    </w:tbl>
    <w:p w:rsidR="008D1D5A" w:rsidRDefault="008D1D5A" w:rsidP="008D1D5A">
      <w:pPr>
        <w:autoSpaceDE w:val="0"/>
        <w:autoSpaceDN w:val="0"/>
        <w:bidi w:val="0"/>
        <w:adjustRightInd w:val="0"/>
        <w:spacing w:after="0" w:line="400" w:lineRule="atLeast"/>
        <w:rPr>
          <w:rFonts w:ascii="Arial" w:hAnsi="Arial" w:cs="Arial"/>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autoSpaceDE w:val="0"/>
        <w:autoSpaceDN w:val="0"/>
        <w:bidi w:val="0"/>
        <w:adjustRightInd w:val="0"/>
        <w:spacing w:after="0" w:line="400" w:lineRule="atLeast"/>
        <w:rPr>
          <w:rFonts w:ascii="Arial" w:hAnsi="Arial" w:cs="Arial"/>
          <w:b/>
          <w:bCs/>
          <w:color w:val="000000"/>
          <w:sz w:val="18"/>
          <w:szCs w:val="18"/>
        </w:rPr>
      </w:pPr>
    </w:p>
    <w:p w:rsidR="008D1D5A" w:rsidRDefault="008D1D5A" w:rsidP="008D1D5A">
      <w:pPr>
        <w:bidi w:val="0"/>
        <w:rPr>
          <w:rFonts w:cs="MyriadPro-Regular"/>
        </w:rPr>
      </w:pPr>
      <w:r w:rsidRPr="00556FC3">
        <w:lastRenderedPageBreak/>
        <w:t xml:space="preserve">                The aim of the study was to assess the demographic character and nutritional status of Hajj patients admitted at the medical department and its relation to the cause of admission and hospital Length of Stay which may help the local health providers in their health planes during hajj season. </w:t>
      </w:r>
    </w:p>
    <w:p w:rsidR="008D1D5A" w:rsidRPr="00556FC3" w:rsidRDefault="008D1D5A" w:rsidP="008D1D5A">
      <w:pPr>
        <w:bidi w:val="0"/>
        <w:ind w:firstLine="720"/>
      </w:pPr>
      <w:r w:rsidRPr="00556FC3">
        <w:t>The mean age was 59.4 yrs., mean BMI was 23.8 kg/m</w:t>
      </w:r>
      <w:r w:rsidRPr="00556FC3">
        <w:rPr>
          <w:vertAlign w:val="superscript"/>
        </w:rPr>
        <w:t xml:space="preserve">2 </w:t>
      </w:r>
      <w:r w:rsidRPr="00556FC3">
        <w:t>and mean HLOS was 3.9 days. Around 52% of patients were 60 years or older, 57.7% of patients were males</w:t>
      </w:r>
      <w:r>
        <w:t xml:space="preserve"> and 17.8% of patients had prolonged HLOS (Fig 1).</w:t>
      </w:r>
      <w:r w:rsidRPr="00556FC3">
        <w:t xml:space="preserve"> </w:t>
      </w:r>
    </w:p>
    <w:p w:rsidR="008D1D5A" w:rsidRDefault="008D1D5A" w:rsidP="008D1D5A">
      <w:pPr>
        <w:bidi w:val="0"/>
      </w:pPr>
      <w:r>
        <w:t xml:space="preserve">Fig (2) showed the nutritional status of all hajji patients where </w:t>
      </w:r>
      <w:r w:rsidRPr="00556FC3">
        <w:t xml:space="preserve">23.9% </w:t>
      </w:r>
      <w:r>
        <w:t xml:space="preserve">of them </w:t>
      </w:r>
      <w:r w:rsidRPr="00556FC3">
        <w:t>had under</w:t>
      </w:r>
      <w:r>
        <w:t>-</w:t>
      </w:r>
      <w:r w:rsidRPr="00556FC3">
        <w:t xml:space="preserve">nutrition </w:t>
      </w:r>
      <w:r>
        <w:t>and 12.7% of patients were obese.</w:t>
      </w:r>
    </w:p>
    <w:p w:rsidR="008D1D5A" w:rsidRPr="00556FC3" w:rsidRDefault="008D1D5A" w:rsidP="008D1D5A">
      <w:pPr>
        <w:bidi w:val="0"/>
      </w:pPr>
      <w:r>
        <w:t>Fig (3)</w:t>
      </w:r>
      <w:r w:rsidRPr="00C8302E">
        <w:t xml:space="preserve"> </w:t>
      </w:r>
      <w:r w:rsidRPr="00556FC3">
        <w:t xml:space="preserve">the commonest cause of admission was respiratory diseases (44.2%) followed by gastrointestinal diseases (22.1%), </w:t>
      </w:r>
      <w:r>
        <w:t>n</w:t>
      </w:r>
      <w:r w:rsidRPr="00556FC3">
        <w:t>eurological diseases (11%) and diabetes mellitus (10.4%).</w:t>
      </w:r>
    </w:p>
    <w:p w:rsidR="008D1D5A" w:rsidRDefault="008D1D5A" w:rsidP="008D1D5A">
      <w:pPr>
        <w:bidi w:val="0"/>
        <w:rPr>
          <w:rFonts w:cs="Arial"/>
        </w:rPr>
      </w:pPr>
      <w:r>
        <w:t xml:space="preserve">Fig (4) showed that the largest group of hajj patients were </w:t>
      </w:r>
      <w:r w:rsidRPr="00556FC3">
        <w:t>from South Asia</w:t>
      </w:r>
      <w:r>
        <w:t xml:space="preserve"> (31.9%)</w:t>
      </w:r>
      <w:r w:rsidRPr="00556FC3">
        <w:t>, foll</w:t>
      </w:r>
      <w:r>
        <w:t>owed by Arabic countries (25.8%</w:t>
      </w:r>
      <w:r>
        <w:rPr>
          <w:rFonts w:cs="Arial"/>
        </w:rPr>
        <w:t>) and were in details as follows:</w:t>
      </w:r>
    </w:p>
    <w:p w:rsidR="008D1D5A" w:rsidRDefault="008D1D5A" w:rsidP="008D1D5A">
      <w:pPr>
        <w:bidi w:val="0"/>
      </w:pPr>
      <w:r>
        <w:rPr>
          <w:rFonts w:cs="Arial"/>
        </w:rPr>
        <w:t>1.</w:t>
      </w:r>
      <w:r>
        <w:rPr>
          <w:rFonts w:cs="Arial"/>
          <w:rtl/>
        </w:rPr>
        <w:t xml:space="preserve"> </w:t>
      </w:r>
      <w:r>
        <w:t xml:space="preserve">South Asian countries (52): (India 26, Pakistan 13, Afghanistan 4, Bangladesh 4, Iran 4, Sri </w:t>
      </w:r>
      <w:proofErr w:type="spellStart"/>
      <w:r>
        <w:t>lanka</w:t>
      </w:r>
      <w:proofErr w:type="spellEnd"/>
      <w:r>
        <w:t xml:space="preserve"> 1</w:t>
      </w:r>
      <w:r>
        <w:rPr>
          <w:rFonts w:cs="Arial" w:hint="cs"/>
          <w:rtl/>
        </w:rPr>
        <w:t>(</w:t>
      </w:r>
      <w:r>
        <w:t>,</w:t>
      </w:r>
    </w:p>
    <w:p w:rsidR="008D1D5A" w:rsidRDefault="008D1D5A" w:rsidP="008D1D5A">
      <w:pPr>
        <w:bidi w:val="0"/>
      </w:pPr>
      <w:r>
        <w:rPr>
          <w:rFonts w:cs="Arial"/>
        </w:rPr>
        <w:t>2.</w:t>
      </w:r>
      <w:r>
        <w:rPr>
          <w:rFonts w:cs="Arial"/>
          <w:rtl/>
        </w:rPr>
        <w:t xml:space="preserve"> </w:t>
      </w:r>
      <w:r>
        <w:t>Arabic countries (42): (Egypt 12, morocco 7, Sudan 7, Iraq 6, Syria 3, Algeria 2, Emirates 1, Lebanon 1, Libya 1, Somalia 1, Yemen 1),</w:t>
      </w:r>
    </w:p>
    <w:p w:rsidR="008D1D5A" w:rsidRDefault="008D1D5A" w:rsidP="008D1D5A">
      <w:pPr>
        <w:bidi w:val="0"/>
        <w:rPr>
          <w:rtl/>
        </w:rPr>
      </w:pPr>
      <w:r>
        <w:rPr>
          <w:rFonts w:cs="Arial"/>
        </w:rPr>
        <w:t>3.</w:t>
      </w:r>
      <w:r>
        <w:rPr>
          <w:rFonts w:cs="Arial"/>
          <w:rtl/>
        </w:rPr>
        <w:t xml:space="preserve"> </w:t>
      </w:r>
      <w:r>
        <w:t>S. E. Asian countries (38): (Indonesia 26, Philippine 4, china 4, Malaysia 3, Burma 1),</w:t>
      </w:r>
    </w:p>
    <w:p w:rsidR="008D1D5A" w:rsidRDefault="008D1D5A" w:rsidP="008D1D5A">
      <w:pPr>
        <w:bidi w:val="0"/>
      </w:pPr>
      <w:r>
        <w:rPr>
          <w:rFonts w:cs="Arial"/>
        </w:rPr>
        <w:t>4.</w:t>
      </w:r>
      <w:r>
        <w:rPr>
          <w:rFonts w:cs="Arial"/>
          <w:rtl/>
        </w:rPr>
        <w:t xml:space="preserve"> </w:t>
      </w:r>
      <w:r>
        <w:t>Central and West Asian countries (19): (turkey 12, Kazakhstan 2, Russia2, Uzbekistan 2, Kirghizstan 1</w:t>
      </w:r>
      <w:r>
        <w:rPr>
          <w:rFonts w:cs="Arial"/>
        </w:rPr>
        <w:t>),</w:t>
      </w:r>
    </w:p>
    <w:p w:rsidR="008D1D5A" w:rsidRDefault="008D1D5A" w:rsidP="008D1D5A">
      <w:pPr>
        <w:bidi w:val="0"/>
      </w:pPr>
      <w:r>
        <w:rPr>
          <w:rFonts w:cs="Arial"/>
        </w:rPr>
        <w:t xml:space="preserve">5. </w:t>
      </w:r>
      <w:r>
        <w:t>African countries (7): (Nigeria 4, Burkina Faso 2, South Africa 1),</w:t>
      </w:r>
    </w:p>
    <w:p w:rsidR="008D1D5A" w:rsidRPr="00556FC3" w:rsidRDefault="008D1D5A" w:rsidP="008D1D5A">
      <w:pPr>
        <w:bidi w:val="0"/>
      </w:pPr>
      <w:r>
        <w:t>6. Other countries (5): (Britain 2, Norway 1, New Zealand 1, German 1).</w:t>
      </w:r>
    </w:p>
    <w:p w:rsidR="008D1D5A" w:rsidRPr="00FE7C00" w:rsidRDefault="008D1D5A" w:rsidP="00FE7C00">
      <w:pPr>
        <w:bidi w:val="0"/>
        <w:rPr>
          <w:rFonts w:cs="Arial"/>
          <w:color w:val="000000"/>
          <w:sz w:val="20"/>
          <w:szCs w:val="20"/>
        </w:rPr>
      </w:pPr>
      <w:r>
        <w:t>Table (1) showed that t</w:t>
      </w:r>
      <w:r w:rsidRPr="00556FC3">
        <w:t>here was a statistically significant</w:t>
      </w:r>
      <w:r>
        <w:t xml:space="preserve"> difference between nutrition state and elderly patients (</w:t>
      </w:r>
      <w:r w:rsidR="00836344" w:rsidRPr="00836344">
        <w:t xml:space="preserve">age ≥ 60 </w:t>
      </w:r>
      <w:proofErr w:type="spellStart"/>
      <w:r w:rsidR="00836344" w:rsidRPr="00836344">
        <w:t>yrs</w:t>
      </w:r>
      <w:proofErr w:type="spellEnd"/>
      <w:r w:rsidRPr="00556FC3">
        <w:t>)</w:t>
      </w:r>
      <w:r>
        <w:t xml:space="preserve"> where</w:t>
      </w:r>
      <w:r w:rsidR="00FE7C00">
        <w:t xml:space="preserve"> the elderly patients constitute</w:t>
      </w:r>
      <w:r>
        <w:t xml:space="preserve"> </w:t>
      </w:r>
      <w:r w:rsidRPr="00556FC3">
        <w:t xml:space="preserve">84.6% </w:t>
      </w:r>
      <w:r w:rsidR="00FE7C00">
        <w:t>of the</w:t>
      </w:r>
      <w:r>
        <w:t xml:space="preserve"> </w:t>
      </w:r>
      <w:r w:rsidR="00FE7C00">
        <w:t xml:space="preserve">undernourished patients and </w:t>
      </w:r>
      <w:r>
        <w:t xml:space="preserve">one third of obese patients. There a significant difference between </w:t>
      </w:r>
      <w:r w:rsidRPr="00CD59EC">
        <w:t xml:space="preserve">Mid arm circumference, mid arm skin fold and mid arm muscle </w:t>
      </w:r>
      <w:r>
        <w:t>circumference and nutrition</w:t>
      </w:r>
      <w:r w:rsidRPr="00CD59EC">
        <w:t xml:space="preserve"> state</w:t>
      </w:r>
      <w:r w:rsidRPr="00556FC3">
        <w:t xml:space="preserve">. The shortest duration of HLOS was in </w:t>
      </w:r>
      <w:r>
        <w:t xml:space="preserve">patients with </w:t>
      </w:r>
      <w:r w:rsidRPr="00556FC3">
        <w:t xml:space="preserve">normal </w:t>
      </w:r>
      <w:r>
        <w:t>nutrition status</w:t>
      </w:r>
      <w:r w:rsidRPr="00556FC3">
        <w:t xml:space="preserve"> (</w:t>
      </w:r>
      <w:r w:rsidRPr="00556FC3">
        <w:rPr>
          <w:rFonts w:cs="Arial"/>
          <w:color w:val="000000"/>
        </w:rPr>
        <w:t xml:space="preserve">3.64±2 days) </w:t>
      </w:r>
      <w:r>
        <w:rPr>
          <w:rFonts w:cs="Arial"/>
          <w:color w:val="000000"/>
        </w:rPr>
        <w:t xml:space="preserve">and </w:t>
      </w:r>
      <w:r w:rsidRPr="00556FC3">
        <w:rPr>
          <w:rFonts w:cs="Arial"/>
          <w:color w:val="000000"/>
        </w:rPr>
        <w:t xml:space="preserve">the longest was </w:t>
      </w:r>
      <w:r>
        <w:rPr>
          <w:rFonts w:cs="Arial"/>
          <w:color w:val="000000"/>
        </w:rPr>
        <w:t>in</w:t>
      </w:r>
      <w:r w:rsidRPr="00556FC3">
        <w:rPr>
          <w:rFonts w:cs="Arial"/>
          <w:color w:val="000000"/>
        </w:rPr>
        <w:t xml:space="preserve"> obese patients (4.52±4.1 days) </w:t>
      </w:r>
      <w:r>
        <w:rPr>
          <w:rFonts w:cs="Arial"/>
          <w:color w:val="000000"/>
        </w:rPr>
        <w:t xml:space="preserve">but the difference was </w:t>
      </w:r>
      <w:r w:rsidRPr="00FE7C00">
        <w:rPr>
          <w:rFonts w:cs="Arial"/>
          <w:color w:val="000000"/>
          <w:sz w:val="20"/>
          <w:szCs w:val="20"/>
        </w:rPr>
        <w:t>statistically insignificant.</w:t>
      </w:r>
    </w:p>
    <w:p w:rsidR="008D1D5A" w:rsidRDefault="008D1D5A" w:rsidP="0002237D">
      <w:pPr>
        <w:bidi w:val="0"/>
        <w:ind w:firstLine="720"/>
        <w:rPr>
          <w:rFonts w:cs="Arial"/>
          <w:color w:val="000000"/>
        </w:rPr>
      </w:pPr>
      <w:r w:rsidRPr="00556FC3">
        <w:rPr>
          <w:rFonts w:cs="Arial"/>
          <w:color w:val="000000"/>
        </w:rPr>
        <w:t>There is a</w:t>
      </w:r>
      <w:r>
        <w:rPr>
          <w:rFonts w:cs="Arial"/>
          <w:color w:val="000000"/>
        </w:rPr>
        <w:t xml:space="preserve"> statistically</w:t>
      </w:r>
      <w:r w:rsidRPr="00556FC3">
        <w:rPr>
          <w:rFonts w:cs="Arial"/>
          <w:color w:val="000000"/>
        </w:rPr>
        <w:t xml:space="preserve"> significant difference between nutrition status and nationality where </w:t>
      </w:r>
      <w:r>
        <w:rPr>
          <w:rFonts w:cs="Arial"/>
          <w:color w:val="000000"/>
        </w:rPr>
        <w:t>under-nutrition was more common in Africans (57</w:t>
      </w:r>
      <w:r w:rsidRPr="00556FC3">
        <w:rPr>
          <w:rFonts w:cs="Arial"/>
          <w:color w:val="000000"/>
        </w:rPr>
        <w:t>%</w:t>
      </w:r>
      <w:r>
        <w:rPr>
          <w:rFonts w:cs="Arial"/>
          <w:color w:val="000000"/>
        </w:rPr>
        <w:t>), and S.E. Asian (39.5%) and less common in Arabic patients (14.3%) and Central Asian and Western patients (0</w:t>
      </w:r>
      <w:r w:rsidR="00C95605">
        <w:rPr>
          <w:rFonts w:cs="Arial"/>
          <w:color w:val="000000"/>
        </w:rPr>
        <w:t>%)</w:t>
      </w:r>
      <w:r w:rsidRPr="00556FC3">
        <w:rPr>
          <w:rFonts w:cs="Arial"/>
          <w:color w:val="000000"/>
        </w:rPr>
        <w:t>.  On the other hand, the percentage of obes</w:t>
      </w:r>
      <w:r>
        <w:rPr>
          <w:rFonts w:cs="Arial"/>
          <w:color w:val="000000"/>
        </w:rPr>
        <w:t xml:space="preserve">ity </w:t>
      </w:r>
      <w:r w:rsidRPr="00556FC3">
        <w:rPr>
          <w:rFonts w:cs="Arial"/>
          <w:color w:val="000000"/>
        </w:rPr>
        <w:t xml:space="preserve">was 0% </w:t>
      </w:r>
      <w:r>
        <w:rPr>
          <w:rFonts w:cs="Arial"/>
          <w:color w:val="000000"/>
        </w:rPr>
        <w:t>in</w:t>
      </w:r>
      <w:r w:rsidRPr="00556FC3">
        <w:rPr>
          <w:rFonts w:cs="Arial"/>
          <w:color w:val="000000"/>
        </w:rPr>
        <w:t xml:space="preserve"> Africans, </w:t>
      </w:r>
      <w:r>
        <w:rPr>
          <w:rFonts w:cs="Arial"/>
          <w:color w:val="000000"/>
        </w:rPr>
        <w:t>and highest in</w:t>
      </w:r>
      <w:r w:rsidRPr="00556FC3">
        <w:rPr>
          <w:rFonts w:cs="Arial"/>
          <w:color w:val="000000"/>
        </w:rPr>
        <w:t xml:space="preserve"> central Asian</w:t>
      </w:r>
      <w:r>
        <w:rPr>
          <w:rFonts w:cs="Arial"/>
          <w:color w:val="000000"/>
        </w:rPr>
        <w:t xml:space="preserve"> and westerns</w:t>
      </w:r>
      <w:r w:rsidRPr="00556FC3">
        <w:rPr>
          <w:rFonts w:cs="Arial"/>
          <w:color w:val="000000"/>
        </w:rPr>
        <w:t>.</w:t>
      </w:r>
      <w:r w:rsidR="0002237D">
        <w:rPr>
          <w:rFonts w:cs="Arial"/>
          <w:color w:val="000000"/>
        </w:rPr>
        <w:t xml:space="preserve"> </w:t>
      </w:r>
      <w:r w:rsidRPr="00556FC3">
        <w:rPr>
          <w:rFonts w:cs="Arial"/>
          <w:color w:val="000000"/>
        </w:rPr>
        <w:t>The</w:t>
      </w:r>
      <w:r>
        <w:rPr>
          <w:rFonts w:cs="Arial"/>
          <w:color w:val="000000"/>
        </w:rPr>
        <w:t xml:space="preserve"> nutrition status</w:t>
      </w:r>
      <w:r w:rsidRPr="00556FC3">
        <w:rPr>
          <w:rFonts w:cs="Arial"/>
          <w:color w:val="000000"/>
        </w:rPr>
        <w:t xml:space="preserve"> significant</w:t>
      </w:r>
      <w:r>
        <w:rPr>
          <w:rFonts w:cs="Arial"/>
          <w:color w:val="000000"/>
        </w:rPr>
        <w:t>ly affect the</w:t>
      </w:r>
      <w:r w:rsidRPr="00556FC3">
        <w:rPr>
          <w:rFonts w:cs="Arial"/>
          <w:color w:val="000000"/>
        </w:rPr>
        <w:t xml:space="preserve"> cause of admission; </w:t>
      </w:r>
      <w:r w:rsidRPr="00CD59EC">
        <w:rPr>
          <w:rFonts w:cs="Arial"/>
          <w:color w:val="000000"/>
        </w:rPr>
        <w:t xml:space="preserve">Under-nutrition was commoner in patients presented with respiratory diseases (35% </w:t>
      </w:r>
      <w:r w:rsidR="0002237D">
        <w:rPr>
          <w:rFonts w:cs="Arial"/>
          <w:color w:val="000000"/>
        </w:rPr>
        <w:t xml:space="preserve">in </w:t>
      </w:r>
      <w:r w:rsidRPr="00CD59EC">
        <w:rPr>
          <w:rFonts w:cs="Arial"/>
          <w:color w:val="000000"/>
        </w:rPr>
        <w:t xml:space="preserve">undernourished </w:t>
      </w:r>
      <w:r w:rsidR="0002237D">
        <w:rPr>
          <w:rFonts w:cs="Arial"/>
          <w:color w:val="000000"/>
        </w:rPr>
        <w:t xml:space="preserve">patients </w:t>
      </w:r>
      <w:r w:rsidRPr="00CD59EC">
        <w:rPr>
          <w:rFonts w:cs="Arial"/>
          <w:color w:val="000000"/>
        </w:rPr>
        <w:t xml:space="preserve">vs 11% </w:t>
      </w:r>
      <w:r w:rsidR="0002237D">
        <w:rPr>
          <w:rFonts w:cs="Arial"/>
          <w:color w:val="000000"/>
        </w:rPr>
        <w:t xml:space="preserve">in </w:t>
      </w:r>
      <w:r w:rsidRPr="00CD59EC">
        <w:rPr>
          <w:rFonts w:cs="Arial"/>
          <w:color w:val="000000"/>
        </w:rPr>
        <w:t>obese</w:t>
      </w:r>
      <w:r w:rsidR="0002237D">
        <w:rPr>
          <w:rFonts w:cs="Arial"/>
          <w:color w:val="000000"/>
        </w:rPr>
        <w:t xml:space="preserve"> patients</w:t>
      </w:r>
      <w:r w:rsidRPr="00CD59EC">
        <w:rPr>
          <w:rFonts w:cs="Arial"/>
          <w:color w:val="000000"/>
        </w:rPr>
        <w:t xml:space="preserve">), while obesity was commoner in patients presented with neurological diseases (5.6% undernourished vs 33.3% obese).  </w:t>
      </w:r>
    </w:p>
    <w:p w:rsidR="008D1D5A" w:rsidRPr="00556FC3" w:rsidRDefault="008D1D5A" w:rsidP="008D1D5A">
      <w:pPr>
        <w:bidi w:val="0"/>
        <w:ind w:firstLine="720"/>
        <w:rPr>
          <w:b/>
          <w:bCs/>
        </w:rPr>
      </w:pPr>
      <w:r>
        <w:rPr>
          <w:rFonts w:cs="Arial"/>
          <w:color w:val="000000"/>
        </w:rPr>
        <w:lastRenderedPageBreak/>
        <w:t xml:space="preserve">In table (2) Prolonged  </w:t>
      </w:r>
      <w:r w:rsidRPr="00556FC3">
        <w:rPr>
          <w:rFonts w:cs="Arial"/>
          <w:color w:val="000000"/>
        </w:rPr>
        <w:t>Length of stay</w:t>
      </w:r>
      <w:r>
        <w:rPr>
          <w:rFonts w:cs="Arial"/>
          <w:color w:val="000000"/>
        </w:rPr>
        <w:t xml:space="preserve"> wa</w:t>
      </w:r>
      <w:r w:rsidRPr="00556FC3">
        <w:rPr>
          <w:rFonts w:cs="Arial"/>
          <w:color w:val="000000"/>
        </w:rPr>
        <w:t>s significantly</w:t>
      </w:r>
      <w:r>
        <w:rPr>
          <w:rFonts w:cs="Arial"/>
          <w:color w:val="000000"/>
        </w:rPr>
        <w:t xml:space="preserve"> more in fe</w:t>
      </w:r>
      <w:r w:rsidRPr="00556FC3">
        <w:rPr>
          <w:rFonts w:cs="Arial"/>
          <w:color w:val="000000"/>
        </w:rPr>
        <w:t>males (</w:t>
      </w:r>
      <w:r>
        <w:rPr>
          <w:rFonts w:cs="Arial"/>
          <w:color w:val="000000"/>
        </w:rPr>
        <w:t xml:space="preserve"> 62% vs 38% p 0.017) while no significant difference between the short or prolonged HLOS as regards the nutrition status, cause of admission and patient's nationality. </w:t>
      </w:r>
      <w:r w:rsidRPr="00556FC3">
        <w:rPr>
          <w:rFonts w:cs="Arial"/>
          <w:color w:val="000000"/>
        </w:rPr>
        <w:t xml:space="preserve"> </w:t>
      </w:r>
    </w:p>
    <w:p w:rsidR="008D1D5A" w:rsidRDefault="008D1D5A" w:rsidP="008D1D5A">
      <w:pPr>
        <w:bidi w:val="0"/>
      </w:pPr>
      <w:r w:rsidRPr="00556FC3">
        <w:t xml:space="preserve">In table (3) </w:t>
      </w:r>
      <w:r>
        <w:t>showed that there is a significant difference between the cause of admission as regards the patient's nationality (p 0.001), none of the SE Asian nor the African had neurological disease while it is found in around 20% of the Arabic, Central Asian and western patients. Respiratory diseases were more in Africans (71.4%), south, S.E. and central Asian patients (47%).</w:t>
      </w:r>
    </w:p>
    <w:p w:rsidR="0050741C" w:rsidRPr="00556FC3" w:rsidRDefault="0050741C" w:rsidP="0050741C">
      <w:pPr>
        <w:autoSpaceDE w:val="0"/>
        <w:autoSpaceDN w:val="0"/>
        <w:bidi w:val="0"/>
        <w:adjustRightInd w:val="0"/>
        <w:spacing w:after="0" w:line="240" w:lineRule="auto"/>
        <w:rPr>
          <w:rFonts w:cs="Times-Roman"/>
        </w:rPr>
      </w:pPr>
    </w:p>
    <w:p w:rsidR="0050741C" w:rsidRPr="00556FC3" w:rsidRDefault="0050741C" w:rsidP="0050741C">
      <w:pPr>
        <w:autoSpaceDE w:val="0"/>
        <w:autoSpaceDN w:val="0"/>
        <w:bidi w:val="0"/>
        <w:adjustRightInd w:val="0"/>
        <w:spacing w:after="0" w:line="240" w:lineRule="auto"/>
        <w:rPr>
          <w:rFonts w:cs="Times-Roman"/>
        </w:rPr>
      </w:pPr>
    </w:p>
    <w:p w:rsidR="0050741C" w:rsidRPr="00556FC3" w:rsidRDefault="0050741C" w:rsidP="0050741C">
      <w:pPr>
        <w:autoSpaceDE w:val="0"/>
        <w:autoSpaceDN w:val="0"/>
        <w:bidi w:val="0"/>
        <w:adjustRightInd w:val="0"/>
        <w:spacing w:after="0" w:line="240" w:lineRule="auto"/>
        <w:rPr>
          <w:rFonts w:cs="Times-Roman"/>
        </w:rPr>
      </w:pPr>
    </w:p>
    <w:p w:rsidR="0050741C" w:rsidRPr="00556FC3" w:rsidRDefault="0050741C" w:rsidP="0050741C">
      <w:pPr>
        <w:autoSpaceDE w:val="0"/>
        <w:autoSpaceDN w:val="0"/>
        <w:bidi w:val="0"/>
        <w:adjustRightInd w:val="0"/>
        <w:spacing w:after="0" w:line="240" w:lineRule="auto"/>
        <w:rPr>
          <w:rFonts w:cs="Times-Roman"/>
        </w:rPr>
      </w:pPr>
    </w:p>
    <w:p w:rsidR="0050741C" w:rsidRPr="00556FC3" w:rsidRDefault="0050741C" w:rsidP="0050741C">
      <w:pPr>
        <w:autoSpaceDE w:val="0"/>
        <w:autoSpaceDN w:val="0"/>
        <w:bidi w:val="0"/>
        <w:adjustRightInd w:val="0"/>
        <w:spacing w:after="0" w:line="240" w:lineRule="auto"/>
        <w:rPr>
          <w:rFonts w:cs="Times-Roman"/>
        </w:rPr>
      </w:pPr>
    </w:p>
    <w:p w:rsidR="0050741C" w:rsidRPr="00556FC3" w:rsidRDefault="0050741C" w:rsidP="0050741C">
      <w:pPr>
        <w:autoSpaceDE w:val="0"/>
        <w:autoSpaceDN w:val="0"/>
        <w:bidi w:val="0"/>
        <w:adjustRightInd w:val="0"/>
        <w:spacing w:after="0" w:line="240" w:lineRule="auto"/>
        <w:rPr>
          <w:rFonts w:cs="Times-Roman"/>
        </w:rPr>
      </w:pPr>
    </w:p>
    <w:p w:rsidR="0050741C" w:rsidRPr="00556FC3" w:rsidRDefault="0050741C" w:rsidP="0050741C">
      <w:pPr>
        <w:autoSpaceDE w:val="0"/>
        <w:autoSpaceDN w:val="0"/>
        <w:bidi w:val="0"/>
        <w:adjustRightInd w:val="0"/>
        <w:spacing w:after="0" w:line="240" w:lineRule="auto"/>
        <w:rPr>
          <w:rFonts w:cs="Times-Roman"/>
        </w:rPr>
      </w:pPr>
    </w:p>
    <w:p w:rsidR="008E2C7F" w:rsidRDefault="008E2C7F" w:rsidP="00E631BC">
      <w:pPr>
        <w:bidi w:val="0"/>
        <w:jc w:val="center"/>
        <w:rPr>
          <w:b/>
          <w:bCs/>
          <w:sz w:val="40"/>
          <w:szCs w:val="40"/>
        </w:rPr>
      </w:pPr>
    </w:p>
    <w:p w:rsidR="008E2C7F" w:rsidRDefault="008E2C7F" w:rsidP="008E2C7F">
      <w:pPr>
        <w:bidi w:val="0"/>
        <w:jc w:val="center"/>
        <w:rPr>
          <w:b/>
          <w:bCs/>
          <w:sz w:val="40"/>
          <w:szCs w:val="40"/>
        </w:rPr>
      </w:pPr>
    </w:p>
    <w:p w:rsidR="008E2C7F" w:rsidRDefault="008E2C7F" w:rsidP="008E2C7F">
      <w:pPr>
        <w:bidi w:val="0"/>
        <w:jc w:val="center"/>
        <w:rPr>
          <w:b/>
          <w:bCs/>
          <w:sz w:val="40"/>
          <w:szCs w:val="40"/>
        </w:rPr>
      </w:pPr>
    </w:p>
    <w:p w:rsidR="008E2C7F" w:rsidRDefault="008E2C7F" w:rsidP="008E2C7F">
      <w:pPr>
        <w:bidi w:val="0"/>
        <w:jc w:val="center"/>
        <w:rPr>
          <w:b/>
          <w:bCs/>
          <w:sz w:val="40"/>
          <w:szCs w:val="40"/>
        </w:rPr>
      </w:pPr>
    </w:p>
    <w:p w:rsidR="008E2C7F" w:rsidRDefault="008E2C7F" w:rsidP="008E2C7F">
      <w:pPr>
        <w:bidi w:val="0"/>
        <w:jc w:val="center"/>
        <w:rPr>
          <w:b/>
          <w:bCs/>
          <w:sz w:val="40"/>
          <w:szCs w:val="40"/>
        </w:rPr>
      </w:pPr>
    </w:p>
    <w:p w:rsidR="008E2C7F" w:rsidRDefault="008E2C7F" w:rsidP="008E2C7F">
      <w:pPr>
        <w:bidi w:val="0"/>
        <w:jc w:val="center"/>
        <w:rPr>
          <w:b/>
          <w:bCs/>
          <w:sz w:val="40"/>
          <w:szCs w:val="40"/>
        </w:rPr>
      </w:pPr>
    </w:p>
    <w:p w:rsidR="008E2C7F" w:rsidRDefault="008E2C7F" w:rsidP="008E2C7F">
      <w:pPr>
        <w:bidi w:val="0"/>
        <w:jc w:val="center"/>
        <w:rPr>
          <w:b/>
          <w:bCs/>
          <w:sz w:val="40"/>
          <w:szCs w:val="40"/>
        </w:rPr>
      </w:pPr>
    </w:p>
    <w:p w:rsidR="008E2C7F" w:rsidRDefault="008E2C7F" w:rsidP="008E2C7F">
      <w:pPr>
        <w:bidi w:val="0"/>
        <w:jc w:val="center"/>
        <w:rPr>
          <w:b/>
          <w:bCs/>
          <w:sz w:val="40"/>
          <w:szCs w:val="40"/>
        </w:rPr>
      </w:pPr>
    </w:p>
    <w:p w:rsidR="008D1D5A" w:rsidRDefault="008D1D5A" w:rsidP="008E2C7F">
      <w:pPr>
        <w:bidi w:val="0"/>
        <w:jc w:val="center"/>
        <w:rPr>
          <w:b/>
          <w:bCs/>
          <w:sz w:val="40"/>
          <w:szCs w:val="40"/>
        </w:rPr>
      </w:pPr>
    </w:p>
    <w:p w:rsidR="008D1D5A" w:rsidRDefault="008D1D5A" w:rsidP="008D1D5A">
      <w:pPr>
        <w:bidi w:val="0"/>
        <w:jc w:val="center"/>
        <w:rPr>
          <w:b/>
          <w:bCs/>
          <w:sz w:val="40"/>
          <w:szCs w:val="40"/>
        </w:rPr>
      </w:pPr>
    </w:p>
    <w:p w:rsidR="008D1D5A" w:rsidRDefault="008D1D5A" w:rsidP="008D1D5A">
      <w:pPr>
        <w:bidi w:val="0"/>
        <w:jc w:val="center"/>
        <w:rPr>
          <w:b/>
          <w:bCs/>
          <w:sz w:val="40"/>
          <w:szCs w:val="40"/>
        </w:rPr>
      </w:pPr>
    </w:p>
    <w:p w:rsidR="00434754" w:rsidRDefault="00434754" w:rsidP="008D1D5A">
      <w:pPr>
        <w:bidi w:val="0"/>
        <w:jc w:val="center"/>
        <w:rPr>
          <w:b/>
          <w:bCs/>
          <w:sz w:val="40"/>
          <w:szCs w:val="40"/>
        </w:rPr>
      </w:pPr>
    </w:p>
    <w:p w:rsidR="000E40CD" w:rsidRPr="00B87596" w:rsidRDefault="000E40CD" w:rsidP="00434754">
      <w:pPr>
        <w:bidi w:val="0"/>
        <w:jc w:val="center"/>
        <w:rPr>
          <w:b/>
          <w:bCs/>
          <w:sz w:val="40"/>
          <w:szCs w:val="40"/>
        </w:rPr>
      </w:pPr>
      <w:r w:rsidRPr="00B87596">
        <w:rPr>
          <w:b/>
          <w:bCs/>
          <w:sz w:val="40"/>
          <w:szCs w:val="40"/>
        </w:rPr>
        <w:lastRenderedPageBreak/>
        <w:t>Discussion</w:t>
      </w:r>
    </w:p>
    <w:p w:rsidR="004C682C" w:rsidRDefault="00B43AD0" w:rsidP="00744985">
      <w:pPr>
        <w:bidi w:val="0"/>
      </w:pPr>
      <w:r>
        <w:t xml:space="preserve">             </w:t>
      </w:r>
      <w:r w:rsidR="00D11335" w:rsidRPr="00B87596">
        <w:t>Th</w:t>
      </w:r>
      <w:r w:rsidR="00A666C8">
        <w:t xml:space="preserve">e aim of this </w:t>
      </w:r>
      <w:r w:rsidR="00D11335" w:rsidRPr="00B87596">
        <w:t>study</w:t>
      </w:r>
      <w:r w:rsidR="00A666C8">
        <w:t xml:space="preserve"> w</w:t>
      </w:r>
      <w:r w:rsidR="00744985">
        <w:t>as</w:t>
      </w:r>
      <w:r w:rsidR="00A666C8" w:rsidRPr="00B87596">
        <w:t xml:space="preserve"> to</w:t>
      </w:r>
      <w:r w:rsidR="00D11335" w:rsidRPr="00B87596">
        <w:t xml:space="preserve"> elucidate the pattern of</w:t>
      </w:r>
      <w:r w:rsidR="00E450FA">
        <w:t xml:space="preserve"> demographic characters and nutritional status of Hajj patients admitted</w:t>
      </w:r>
      <w:r w:rsidR="00A666C8">
        <w:t xml:space="preserve"> a</w:t>
      </w:r>
      <w:r w:rsidR="00E450FA">
        <w:t>t the medical floor and its relation to HLOS and cause of</w:t>
      </w:r>
      <w:r w:rsidR="00D11335" w:rsidRPr="00B87596">
        <w:t xml:space="preserve"> </w:t>
      </w:r>
      <w:r w:rsidR="00E319C4" w:rsidRPr="00B87596">
        <w:t>admission</w:t>
      </w:r>
      <w:r w:rsidR="00E319C4">
        <w:t xml:space="preserve"> </w:t>
      </w:r>
      <w:r w:rsidR="00E319C4" w:rsidRPr="00B87596">
        <w:t>in</w:t>
      </w:r>
      <w:r w:rsidR="00D11335" w:rsidRPr="00B87596">
        <w:t xml:space="preserve"> order to help health policy makers to plan</w:t>
      </w:r>
      <w:r w:rsidR="00744985">
        <w:t xml:space="preserve"> the</w:t>
      </w:r>
      <w:r w:rsidR="00D11335" w:rsidRPr="00B87596">
        <w:t xml:space="preserve"> futur</w:t>
      </w:r>
      <w:r w:rsidR="00E450FA">
        <w:t>e</w:t>
      </w:r>
      <w:r w:rsidR="00D11335" w:rsidRPr="00B87596">
        <w:t xml:space="preserve"> services</w:t>
      </w:r>
      <w:r w:rsidR="00E450FA">
        <w:t xml:space="preserve"> during hajj season.</w:t>
      </w:r>
      <w:r w:rsidR="00D11335" w:rsidRPr="00B87596">
        <w:t xml:space="preserve"> </w:t>
      </w:r>
    </w:p>
    <w:p w:rsidR="00C9063C" w:rsidRDefault="00E319C4" w:rsidP="00C9063C">
      <w:pPr>
        <w:bidi w:val="0"/>
        <w:ind w:firstLine="720"/>
      </w:pPr>
      <w:r>
        <w:t xml:space="preserve">On reviewing the literatures, </w:t>
      </w:r>
      <w:r w:rsidR="00744985">
        <w:t xml:space="preserve">we found </w:t>
      </w:r>
      <w:r w:rsidR="00D951FE">
        <w:t xml:space="preserve">national </w:t>
      </w:r>
      <w:r w:rsidR="00C9063C">
        <w:t>report</w:t>
      </w:r>
      <w:r w:rsidR="00744985">
        <w:t>s</w:t>
      </w:r>
      <w:r w:rsidR="00C9063C">
        <w:t xml:space="preserve"> studying the</w:t>
      </w:r>
      <w:r w:rsidR="00744985">
        <w:t xml:space="preserve"> </w:t>
      </w:r>
      <w:r w:rsidR="009674DE">
        <w:t>demographic characters</w:t>
      </w:r>
      <w:r w:rsidR="00C9063C">
        <w:t xml:space="preserve"> and the cause of admission</w:t>
      </w:r>
      <w:r w:rsidR="00744985">
        <w:t xml:space="preserve"> </w:t>
      </w:r>
      <w:r w:rsidR="00C9063C">
        <w:t xml:space="preserve">but we could not find </w:t>
      </w:r>
      <w:r w:rsidR="009674DE">
        <w:t xml:space="preserve">studies </w:t>
      </w:r>
      <w:r w:rsidR="00C9063C">
        <w:t>dealing with</w:t>
      </w:r>
      <w:r w:rsidR="009674DE">
        <w:t xml:space="preserve"> the nutrition status </w:t>
      </w:r>
      <w:r w:rsidR="001E767A">
        <w:t xml:space="preserve">or HLOS </w:t>
      </w:r>
      <w:r w:rsidR="009674DE">
        <w:t>of hajj patients</w:t>
      </w:r>
      <w:r w:rsidR="00C9063C">
        <w:t>.</w:t>
      </w:r>
    </w:p>
    <w:p w:rsidR="00C9063C" w:rsidRDefault="00C9063C" w:rsidP="00A40CC1">
      <w:pPr>
        <w:bidi w:val="0"/>
        <w:ind w:firstLine="720"/>
      </w:pPr>
      <w:r>
        <w:t>In the present study the</w:t>
      </w:r>
      <w:r w:rsidR="00A40CC1" w:rsidRPr="00A40CC1">
        <w:t xml:space="preserve"> mean age of patients was 59.4 ± 11 yrs., and 57.7% of patients were males. More than half of the patients (52.1%) were old age patients (age ≥ 60 yrs.)</w:t>
      </w:r>
      <w:r w:rsidR="00A40CC1">
        <w:t xml:space="preserve"> and</w:t>
      </w:r>
      <w:r w:rsidR="00A40CC1" w:rsidRPr="00A40CC1">
        <w:t xml:space="preserve"> </w:t>
      </w:r>
      <w:r w:rsidR="00A40CC1">
        <w:t>r</w:t>
      </w:r>
      <w:r w:rsidR="00A40CC1" w:rsidRPr="00A40CC1">
        <w:t>espiratory diseases are the commonest cause of admission (44.2%)</w:t>
      </w:r>
      <w:r w:rsidR="00A40CC1">
        <w:t xml:space="preserve"> and gastrointestinal diseases in 22% of patients</w:t>
      </w:r>
      <w:r w:rsidR="00A40CC1" w:rsidRPr="00A40CC1">
        <w:t>.</w:t>
      </w:r>
      <w:r w:rsidR="00A40CC1">
        <w:t xml:space="preserve"> Approximately 32% of patients came from South Asia while 25.8% came from Arabic countries.</w:t>
      </w:r>
      <w:r w:rsidR="00A40CC1" w:rsidRPr="00A40CC1">
        <w:t xml:space="preserve">  </w:t>
      </w:r>
    </w:p>
    <w:p w:rsidR="00691AF5" w:rsidRDefault="00E319C4" w:rsidP="00A40CC1">
      <w:pPr>
        <w:bidi w:val="0"/>
        <w:ind w:firstLine="720"/>
      </w:pPr>
      <w:r>
        <w:t xml:space="preserve">In a study </w:t>
      </w:r>
      <w:r w:rsidR="00910AC0">
        <w:t xml:space="preserve">done by Saeed et al, 2003, </w:t>
      </w:r>
      <w:r>
        <w:t xml:space="preserve">on the hajj patients admitted at medical departments in 4 hospitals </w:t>
      </w:r>
      <w:r w:rsidR="004C682C" w:rsidRPr="00B87596">
        <w:t xml:space="preserve">in </w:t>
      </w:r>
      <w:r>
        <w:t>mina and Arafat (</w:t>
      </w:r>
      <w:r w:rsidR="004C682C" w:rsidRPr="00B87596">
        <w:t>Al-</w:t>
      </w:r>
      <w:proofErr w:type="spellStart"/>
      <w:r w:rsidR="004C682C" w:rsidRPr="00B87596">
        <w:t>Mashaer</w:t>
      </w:r>
      <w:proofErr w:type="spellEnd"/>
      <w:r>
        <w:t>)</w:t>
      </w:r>
      <w:r w:rsidR="004C682C" w:rsidRPr="00B87596">
        <w:t xml:space="preserve">, </w:t>
      </w:r>
      <w:r>
        <w:t>9</w:t>
      </w:r>
      <w:r w:rsidRPr="00E319C4">
        <w:rPr>
          <w:vertAlign w:val="superscript"/>
        </w:rPr>
        <w:t>th</w:t>
      </w:r>
      <w:r>
        <w:t xml:space="preserve"> and 10</w:t>
      </w:r>
      <w:r w:rsidRPr="00E319C4">
        <w:rPr>
          <w:vertAlign w:val="superscript"/>
        </w:rPr>
        <w:t>th</w:t>
      </w:r>
      <w:r>
        <w:t xml:space="preserve"> of </w:t>
      </w:r>
      <w:proofErr w:type="spellStart"/>
      <w:r>
        <w:t>zul</w:t>
      </w:r>
      <w:proofErr w:type="spellEnd"/>
      <w:r>
        <w:t xml:space="preserve"> </w:t>
      </w:r>
      <w:r w:rsidR="004C682C" w:rsidRPr="00B87596">
        <w:t xml:space="preserve"> </w:t>
      </w:r>
      <w:proofErr w:type="spellStart"/>
      <w:r w:rsidR="004C682C" w:rsidRPr="00B87596">
        <w:t>Hijjah</w:t>
      </w:r>
      <w:proofErr w:type="spellEnd"/>
      <w:r w:rsidR="004C682C" w:rsidRPr="00B87596">
        <w:t xml:space="preserve"> 1422</w:t>
      </w:r>
      <w:r w:rsidR="009674DE">
        <w:t>.</w:t>
      </w:r>
      <w:r w:rsidR="004C682C" w:rsidRPr="00B87596">
        <w:t xml:space="preserve">  </w:t>
      </w:r>
      <w:r w:rsidR="009674DE" w:rsidRPr="00B87596">
        <w:t>A cohort of 160 patients</w:t>
      </w:r>
      <w:r w:rsidR="009674DE">
        <w:t xml:space="preserve"> was</w:t>
      </w:r>
      <w:r>
        <w:t xml:space="preserve"> collected</w:t>
      </w:r>
      <w:r w:rsidR="009674DE">
        <w:t xml:space="preserve">; </w:t>
      </w:r>
      <w:r w:rsidR="009674DE" w:rsidRPr="00B87596">
        <w:t>Males</w:t>
      </w:r>
      <w:r w:rsidR="004C682C" w:rsidRPr="00B87596">
        <w:t xml:space="preserve"> constituted 62% with the median age of 60 +/- 15years. The respiratory system was the most commonly affected (57%), and gastrointestinal tract (GIT) in 6.3% of cases</w:t>
      </w:r>
      <w:r w:rsidR="005E16A1">
        <w:t>.</w:t>
      </w:r>
      <w:r w:rsidR="00D11335" w:rsidRPr="00B87596">
        <w:t xml:space="preserve"> Most of the admissions were from Arab countries (45.6%), Indian subcontinent (17%), non-Arab African countries (11.3%), and Indonesia and the Far East (11.3%). </w:t>
      </w:r>
      <w:r w:rsidR="00910AC0">
        <w:t>Another study pu</w:t>
      </w:r>
      <w:r w:rsidR="009674DE">
        <w:t>blished in 2007 by khan et al. It included</w:t>
      </w:r>
      <w:r w:rsidR="00910AC0">
        <w:t xml:space="preserve"> </w:t>
      </w:r>
      <w:r w:rsidR="00576C5E">
        <w:t xml:space="preserve">689 </w:t>
      </w:r>
      <w:r w:rsidR="00576C5E" w:rsidRPr="00B87596">
        <w:t>patients</w:t>
      </w:r>
      <w:r w:rsidR="00AC2461" w:rsidRPr="00B87596">
        <w:t xml:space="preserve">, belonging to 49 countries, with mean age of 62 years and </w:t>
      </w:r>
      <w:r w:rsidR="00576C5E" w:rsidRPr="00B87596">
        <w:t>male</w:t>
      </w:r>
      <w:r w:rsidR="00576C5E">
        <w:t xml:space="preserve">: </w:t>
      </w:r>
      <w:r w:rsidR="00AC2461" w:rsidRPr="00B87596">
        <w:t xml:space="preserve">female </w:t>
      </w:r>
      <w:r w:rsidR="00576C5E" w:rsidRPr="00B87596">
        <w:t>ratios of 1.8:1</w:t>
      </w:r>
      <w:r w:rsidR="00A40CC1">
        <w:t>.</w:t>
      </w:r>
      <w:r w:rsidR="002B4786">
        <w:t xml:space="preserve"> In the same year (2007),</w:t>
      </w:r>
      <w:r w:rsidR="00691AF5">
        <w:t xml:space="preserve">a study published by </w:t>
      </w:r>
      <w:proofErr w:type="spellStart"/>
      <w:r w:rsidR="00691AF5">
        <w:t>Madani</w:t>
      </w:r>
      <w:proofErr w:type="spellEnd"/>
      <w:r w:rsidR="00691AF5">
        <w:t xml:space="preserve"> et al., on </w:t>
      </w:r>
      <w:r w:rsidR="00691AF5" w:rsidRPr="00691AF5">
        <w:t>140</w:t>
      </w:r>
      <w:r w:rsidR="00691AF5">
        <w:t xml:space="preserve"> hajj</w:t>
      </w:r>
      <w:r w:rsidR="00691AF5" w:rsidRPr="00691AF5">
        <w:t xml:space="preserve"> patients admitted to ICUs, </w:t>
      </w:r>
      <w:r w:rsidR="002B4786">
        <w:t xml:space="preserve">fifty four percent of </w:t>
      </w:r>
      <w:r w:rsidR="00691AF5" w:rsidRPr="00691AF5">
        <w:t>patients were older than 60 years</w:t>
      </w:r>
      <w:r w:rsidR="002B4786">
        <w:t xml:space="preserve"> and 67.6% of</w:t>
      </w:r>
      <w:r w:rsidR="00691AF5" w:rsidRPr="00691AF5">
        <w:t xml:space="preserve"> patients were men</w:t>
      </w:r>
      <w:r w:rsidR="00A40CC1">
        <w:t>,</w:t>
      </w:r>
      <w:r w:rsidR="00691AF5" w:rsidRPr="00691AF5">
        <w:t xml:space="preserve"> pneumonia</w:t>
      </w:r>
      <w:r w:rsidR="00A40CC1">
        <w:t xml:space="preserve"> was</w:t>
      </w:r>
      <w:r w:rsidR="00691AF5" w:rsidRPr="00691AF5">
        <w:t xml:space="preserve"> the </w:t>
      </w:r>
      <w:r w:rsidR="00A40CC1">
        <w:t>admitting diagnosis in 22% of patients</w:t>
      </w:r>
      <w:r w:rsidR="00691AF5" w:rsidRPr="00691AF5">
        <w:t>.</w:t>
      </w:r>
    </w:p>
    <w:p w:rsidR="00415B9C" w:rsidRDefault="00576C5E" w:rsidP="001E767A">
      <w:pPr>
        <w:bidi w:val="0"/>
        <w:ind w:firstLine="720"/>
      </w:pPr>
      <w:proofErr w:type="spellStart"/>
      <w:r>
        <w:t>Shafi</w:t>
      </w:r>
      <w:proofErr w:type="spellEnd"/>
      <w:r>
        <w:t xml:space="preserve"> et al., 2008 reported </w:t>
      </w:r>
      <w:r w:rsidRPr="00576C5E">
        <w:t>'Hajj cough' is the most frequently reported complaint.</w:t>
      </w:r>
      <w:r w:rsidR="002B4786">
        <w:t xml:space="preserve"> Same finding was reported by</w:t>
      </w:r>
      <w:r w:rsidR="00FE3470">
        <w:t xml:space="preserve"> </w:t>
      </w:r>
      <w:proofErr w:type="spellStart"/>
      <w:r w:rsidR="00FE3470">
        <w:t>Yousaf</w:t>
      </w:r>
      <w:proofErr w:type="spellEnd"/>
      <w:r w:rsidR="00FE3470">
        <w:t xml:space="preserve"> et al., 1995</w:t>
      </w:r>
      <w:r w:rsidR="00415B9C">
        <w:t>,</w:t>
      </w:r>
      <w:r w:rsidR="00FC2B77">
        <w:t xml:space="preserve"> </w:t>
      </w:r>
      <w:r w:rsidR="00415B9C" w:rsidRPr="00415B9C">
        <w:t>Al-</w:t>
      </w:r>
      <w:proofErr w:type="spellStart"/>
      <w:r w:rsidR="00415B9C" w:rsidRPr="00415B9C">
        <w:t>Ghamdi</w:t>
      </w:r>
      <w:proofErr w:type="spellEnd"/>
      <w:r w:rsidR="00415B9C" w:rsidRPr="00415B9C">
        <w:t xml:space="preserve"> et al. 2003</w:t>
      </w:r>
      <w:r w:rsidR="00415B9C">
        <w:t>,</w:t>
      </w:r>
      <w:r w:rsidR="00415B9C" w:rsidRPr="00415B9C">
        <w:t xml:space="preserve"> </w:t>
      </w:r>
      <w:proofErr w:type="spellStart"/>
      <w:r w:rsidR="00FC2B77">
        <w:t>Balk</w:t>
      </w:r>
      <w:r w:rsidR="00C17D8A">
        <w:t>h</w:t>
      </w:r>
      <w:r w:rsidR="002B4786">
        <w:t>y</w:t>
      </w:r>
      <w:proofErr w:type="spellEnd"/>
      <w:r w:rsidR="002B4786">
        <w:t xml:space="preserve"> et al., 2004</w:t>
      </w:r>
      <w:r w:rsidR="00415B9C">
        <w:t>,</w:t>
      </w:r>
      <w:r w:rsidR="00415B9C" w:rsidRPr="00415B9C">
        <w:t xml:space="preserve"> </w:t>
      </w:r>
      <w:proofErr w:type="spellStart"/>
      <w:r w:rsidR="00415B9C" w:rsidRPr="00415B9C">
        <w:t>Shakir</w:t>
      </w:r>
      <w:proofErr w:type="spellEnd"/>
      <w:r w:rsidR="00415B9C" w:rsidRPr="00415B9C">
        <w:t xml:space="preserve"> et al., 2006</w:t>
      </w:r>
      <w:r w:rsidR="00415B9C">
        <w:t xml:space="preserve">, </w:t>
      </w:r>
      <w:proofErr w:type="spellStart"/>
      <w:r w:rsidR="00415B9C" w:rsidRPr="00415B9C">
        <w:t>Madani</w:t>
      </w:r>
      <w:proofErr w:type="spellEnd"/>
      <w:r w:rsidR="00415B9C" w:rsidRPr="00415B9C">
        <w:t xml:space="preserve"> et al., 2007 and </w:t>
      </w:r>
      <w:proofErr w:type="spellStart"/>
      <w:r w:rsidR="00415B9C" w:rsidRPr="00415B9C">
        <w:t>Alzeer</w:t>
      </w:r>
      <w:proofErr w:type="spellEnd"/>
      <w:r w:rsidR="00415B9C" w:rsidRPr="00415B9C">
        <w:t xml:space="preserve"> 2009</w:t>
      </w:r>
      <w:r w:rsidR="002B4786">
        <w:t>.</w:t>
      </w:r>
      <w:r w:rsidR="008700CF" w:rsidRPr="00B87596">
        <w:t xml:space="preserve"> </w:t>
      </w:r>
      <w:r w:rsidR="00775919" w:rsidRPr="00775919">
        <w:t>Pneumonia is a common illness that is life-threatening to the elderly, especially those with comorbidities such as diabetes or hypertension [</w:t>
      </w:r>
      <w:proofErr w:type="spellStart"/>
      <w:r w:rsidR="00775919">
        <w:t>Mandourah</w:t>
      </w:r>
      <w:proofErr w:type="spellEnd"/>
      <w:r w:rsidR="00775919">
        <w:t xml:space="preserve"> et al., 2012).</w:t>
      </w:r>
      <w:r w:rsidR="00775919" w:rsidRPr="00775919">
        <w:t xml:space="preserve"> One-third of Indonesian pilgrim mortality was attributed to respiratory diseases</w:t>
      </w:r>
      <w:r w:rsidR="00DB4D44" w:rsidRPr="00B87596">
        <w:t>.</w:t>
      </w:r>
      <w:r w:rsidR="00415B9C">
        <w:t xml:space="preserve"> </w:t>
      </w:r>
      <w:r w:rsidR="00775919">
        <w:t>(</w:t>
      </w:r>
      <w:r w:rsidR="00DB4D44" w:rsidRPr="00B87596">
        <w:t xml:space="preserve"> </w:t>
      </w:r>
      <w:proofErr w:type="spellStart"/>
      <w:r w:rsidR="00775919" w:rsidRPr="00775919">
        <w:t>Masdalina</w:t>
      </w:r>
      <w:proofErr w:type="spellEnd"/>
      <w:r w:rsidR="00775919" w:rsidRPr="00775919">
        <w:t xml:space="preserve"> Pane</w:t>
      </w:r>
      <w:r w:rsidR="00775919">
        <w:t xml:space="preserve"> et al., 2013)</w:t>
      </w:r>
      <w:r w:rsidR="003248CD">
        <w:t xml:space="preserve"> similar findings were reported by the Iranian hajj report (</w:t>
      </w:r>
      <w:proofErr w:type="spellStart"/>
      <w:r w:rsidR="003248CD" w:rsidRPr="003248CD">
        <w:t>Meysamie</w:t>
      </w:r>
      <w:proofErr w:type="spellEnd"/>
      <w:r w:rsidR="00415B9C">
        <w:t xml:space="preserve"> et al., 2006).</w:t>
      </w:r>
    </w:p>
    <w:p w:rsidR="003248CD" w:rsidRDefault="000A758B" w:rsidP="00155E9D">
      <w:pPr>
        <w:bidi w:val="0"/>
        <w:ind w:firstLine="720"/>
      </w:pPr>
      <w:r>
        <w:t>In the present study, it is found that 23.9% of Hajj patients had under-nutrition</w:t>
      </w:r>
      <w:r w:rsidR="00335142">
        <w:t xml:space="preserve"> and 12.7% of them had obesity and 84.6% of undernourished patients were elderly patients. </w:t>
      </w:r>
      <w:r w:rsidR="00335142" w:rsidRPr="00335142">
        <w:t>M</w:t>
      </w:r>
      <w:r w:rsidR="00335142">
        <w:t>U</w:t>
      </w:r>
      <w:r w:rsidR="00335142" w:rsidRPr="00335142">
        <w:t>AC, TSF and MAMC were good indicators of nutrition</w:t>
      </w:r>
      <w:r w:rsidR="00335142">
        <w:t>al</w:t>
      </w:r>
      <w:r w:rsidR="00335142" w:rsidRPr="00335142">
        <w:t xml:space="preserve"> status</w:t>
      </w:r>
      <w:r w:rsidR="00335142">
        <w:t>. Under-nutrition was commoner in patients presented with respiratory diseases (35%</w:t>
      </w:r>
      <w:r w:rsidR="00A91004">
        <w:t xml:space="preserve"> under nourished vs 11% obese</w:t>
      </w:r>
      <w:r w:rsidR="00335142">
        <w:t>), while obesity was commoner in patients presented with neurological diseases</w:t>
      </w:r>
      <w:r w:rsidR="00A91004">
        <w:t xml:space="preserve"> (5.6% undernourished vs 33.3% obese)</w:t>
      </w:r>
      <w:r w:rsidR="00335142">
        <w:t>.</w:t>
      </w:r>
      <w:r w:rsidR="00A91004">
        <w:t xml:space="preserve"> </w:t>
      </w:r>
      <w:r w:rsidR="00155E9D">
        <w:t>I</w:t>
      </w:r>
      <w:r w:rsidR="00A91004">
        <w:t>n African</w:t>
      </w:r>
      <w:r w:rsidR="00155E9D">
        <w:t xml:space="preserve"> and SE Asian</w:t>
      </w:r>
      <w:r w:rsidR="00335142">
        <w:t xml:space="preserve"> </w:t>
      </w:r>
      <w:r w:rsidR="00155E9D">
        <w:t xml:space="preserve">hajj patients, neurological diseases were rare while respiratory diseases were common in the reverse to central Asian and western hajj patients, this may be related to the prevalence of under-nutrition. </w:t>
      </w:r>
      <w:r>
        <w:t xml:space="preserve"> </w:t>
      </w:r>
    </w:p>
    <w:p w:rsidR="00AC2461" w:rsidRPr="00B87596" w:rsidRDefault="00155E9D" w:rsidP="00E13012">
      <w:pPr>
        <w:bidi w:val="0"/>
        <w:ind w:firstLine="720"/>
      </w:pPr>
      <w:r>
        <w:lastRenderedPageBreak/>
        <w:t>M</w:t>
      </w:r>
      <w:r w:rsidR="000A758B">
        <w:t>any i</w:t>
      </w:r>
      <w:r w:rsidR="00CC3021">
        <w:t xml:space="preserve">nternational </w:t>
      </w:r>
      <w:r w:rsidR="00757150">
        <w:t xml:space="preserve">reports </w:t>
      </w:r>
      <w:r w:rsidR="00E13012">
        <w:t xml:space="preserve">were found </w:t>
      </w:r>
      <w:r w:rsidR="00757150">
        <w:t>studying</w:t>
      </w:r>
      <w:r w:rsidR="00CC3021">
        <w:t xml:space="preserve"> </w:t>
      </w:r>
      <w:r w:rsidR="00757150">
        <w:t xml:space="preserve">the </w:t>
      </w:r>
      <w:r w:rsidR="00757150" w:rsidRPr="000A758B">
        <w:t xml:space="preserve">prevalence of malnutrition </w:t>
      </w:r>
      <w:r w:rsidR="00757150">
        <w:t xml:space="preserve">in hospitalized patients and its relation to the admission diagnosis. Reports started as early as the seventies of the last century and </w:t>
      </w:r>
      <w:r w:rsidR="00757150" w:rsidRPr="000A758B">
        <w:t>found that t</w:t>
      </w:r>
      <w:r w:rsidR="001929ED" w:rsidRPr="000A758B">
        <w:t xml:space="preserve">hirty to fifty percent of hospitalized patients may </w:t>
      </w:r>
      <w:r w:rsidR="000A758B">
        <w:t>have</w:t>
      </w:r>
      <w:r w:rsidR="001929ED" w:rsidRPr="000A758B">
        <w:t xml:space="preserve"> malnutrition </w:t>
      </w:r>
      <w:r w:rsidR="009A2ECA" w:rsidRPr="000A758B">
        <w:t>(Butterworth</w:t>
      </w:r>
      <w:r w:rsidR="009A2ECA" w:rsidRPr="009A2ECA">
        <w:t xml:space="preserve"> </w:t>
      </w:r>
      <w:r w:rsidR="009A2ECA">
        <w:t>, 1974</w:t>
      </w:r>
      <w:r w:rsidR="00780EC3">
        <w:t xml:space="preserve">, </w:t>
      </w:r>
      <w:proofErr w:type="spellStart"/>
      <w:r w:rsidR="009A2ECA" w:rsidRPr="009A2ECA">
        <w:t>Bistrian</w:t>
      </w:r>
      <w:proofErr w:type="spellEnd"/>
      <w:r w:rsidR="009A2ECA" w:rsidRPr="009A2ECA">
        <w:t xml:space="preserve"> </w:t>
      </w:r>
      <w:r w:rsidR="00780EC3">
        <w:t>, et al., 1976,</w:t>
      </w:r>
      <w:r w:rsidR="00780EC3" w:rsidRPr="00780EC3">
        <w:t xml:space="preserve"> </w:t>
      </w:r>
      <w:proofErr w:type="spellStart"/>
      <w:r w:rsidR="00780EC3" w:rsidRPr="00780EC3">
        <w:t>Weinsier</w:t>
      </w:r>
      <w:proofErr w:type="spellEnd"/>
      <w:r w:rsidR="00780EC3" w:rsidRPr="00780EC3">
        <w:t xml:space="preserve"> et al., 1979</w:t>
      </w:r>
      <w:r w:rsidR="00780EC3">
        <w:t xml:space="preserve"> and  </w:t>
      </w:r>
      <w:r w:rsidR="009A2ECA" w:rsidRPr="009A2ECA">
        <w:t xml:space="preserve">Waitzberg </w:t>
      </w:r>
      <w:r w:rsidR="009A2ECA">
        <w:t>, et al., 2001)</w:t>
      </w:r>
      <w:r w:rsidR="00757150">
        <w:t>,</w:t>
      </w:r>
      <w:r w:rsidR="00780EC3">
        <w:t xml:space="preserve"> </w:t>
      </w:r>
      <w:r w:rsidR="001929ED">
        <w:t xml:space="preserve">and despite its high prevalence, medical awareness of the patients’ nutritional status </w:t>
      </w:r>
      <w:r w:rsidR="000A758B">
        <w:t>was</w:t>
      </w:r>
      <w:r w:rsidR="001929ED">
        <w:t xml:space="preserve"> lacking </w:t>
      </w:r>
      <w:r w:rsidR="009A2ECA" w:rsidRPr="009A2ECA">
        <w:t>(</w:t>
      </w:r>
      <w:proofErr w:type="spellStart"/>
      <w:r w:rsidR="00780EC3" w:rsidRPr="00780EC3">
        <w:t>McWhirter</w:t>
      </w:r>
      <w:proofErr w:type="spellEnd"/>
      <w:r w:rsidR="00780EC3" w:rsidRPr="00780EC3">
        <w:t xml:space="preserve"> and Pennington 1994</w:t>
      </w:r>
      <w:r w:rsidR="00780EC3">
        <w:t xml:space="preserve"> and </w:t>
      </w:r>
      <w:r w:rsidR="009A2ECA" w:rsidRPr="009A2ECA">
        <w:t>Waitzberg , et al., 2001</w:t>
      </w:r>
      <w:r w:rsidR="009A2ECA">
        <w:t>)</w:t>
      </w:r>
    </w:p>
    <w:p w:rsidR="000E40CD" w:rsidRPr="00556FC3" w:rsidRDefault="00000D15" w:rsidP="00000D15">
      <w:pPr>
        <w:bidi w:val="0"/>
        <w:ind w:firstLine="720"/>
      </w:pPr>
      <w:r>
        <w:t xml:space="preserve">This malnutrition was found to be prevalent even in developed countries with high standard of life as </w:t>
      </w:r>
      <w:r w:rsidR="00A502B2">
        <w:t>S</w:t>
      </w:r>
      <w:r w:rsidR="008D76A3">
        <w:t>weden</w:t>
      </w:r>
      <w:r w:rsidR="00564A4C">
        <w:t xml:space="preserve"> </w:t>
      </w:r>
      <w:r w:rsidR="009A2ECA">
        <w:t>(</w:t>
      </w:r>
      <w:proofErr w:type="spellStart"/>
      <w:r w:rsidR="009A2ECA">
        <w:t>Albiin</w:t>
      </w:r>
      <w:proofErr w:type="spellEnd"/>
      <w:r w:rsidR="009A2ECA">
        <w:t xml:space="preserve">, et al., </w:t>
      </w:r>
      <w:r w:rsidR="00564A4C">
        <w:t>1982</w:t>
      </w:r>
      <w:r w:rsidR="009A2ECA">
        <w:t>)</w:t>
      </w:r>
      <w:r w:rsidR="008D76A3">
        <w:t xml:space="preserve">, </w:t>
      </w:r>
      <w:r>
        <w:t xml:space="preserve">where </w:t>
      </w:r>
      <w:r w:rsidR="008D76A3">
        <w:t>the</w:t>
      </w:r>
      <w:r w:rsidR="00A502B2" w:rsidRPr="00A502B2">
        <w:t xml:space="preserve"> nutritional status was assessed in 75 consecutive patients acutely admitted to a general medical </w:t>
      </w:r>
      <w:r w:rsidR="008D76A3" w:rsidRPr="00A502B2">
        <w:t>ward</w:t>
      </w:r>
      <w:r w:rsidR="00564A4C">
        <w:t xml:space="preserve"> and</w:t>
      </w:r>
      <w:r w:rsidR="00A502B2" w:rsidRPr="00A502B2">
        <w:t xml:space="preserve"> obesity</w:t>
      </w:r>
      <w:r w:rsidR="00564A4C">
        <w:t xml:space="preserve"> was found</w:t>
      </w:r>
      <w:r w:rsidR="00A502B2" w:rsidRPr="00A502B2">
        <w:t xml:space="preserve"> in 9% and under</w:t>
      </w:r>
      <w:r w:rsidR="00A502B2">
        <w:t>-</w:t>
      </w:r>
      <w:r w:rsidR="00A502B2" w:rsidRPr="00A502B2">
        <w:t>nutrition</w:t>
      </w:r>
      <w:r w:rsidR="00564A4C">
        <w:t xml:space="preserve"> was found</w:t>
      </w:r>
      <w:r w:rsidR="00A502B2" w:rsidRPr="00A502B2">
        <w:t xml:space="preserve"> in 22% of patients</w:t>
      </w:r>
      <w:r w:rsidR="00A502B2">
        <w:t>.</w:t>
      </w:r>
      <w:r>
        <w:t xml:space="preserve"> And </w:t>
      </w:r>
      <w:r w:rsidR="00564A4C">
        <w:t xml:space="preserve">in a study from </w:t>
      </w:r>
      <w:r>
        <w:t>P</w:t>
      </w:r>
      <w:r w:rsidR="00564A4C">
        <w:t>oland,</w:t>
      </w:r>
      <w:r>
        <w:t xml:space="preserve"> </w:t>
      </w:r>
      <w:r w:rsidR="00717D86">
        <w:t>(</w:t>
      </w:r>
      <w:proofErr w:type="spellStart"/>
      <w:r w:rsidR="00717D86" w:rsidRPr="00717D86">
        <w:t>Dzieniszewski</w:t>
      </w:r>
      <w:proofErr w:type="spellEnd"/>
      <w:r w:rsidR="00717D86" w:rsidRPr="00717D86">
        <w:t xml:space="preserve"> </w:t>
      </w:r>
      <w:r w:rsidR="00717D86">
        <w:t xml:space="preserve">et al., </w:t>
      </w:r>
      <w:r w:rsidR="00564A4C">
        <w:t>2005</w:t>
      </w:r>
      <w:r w:rsidR="00717D86">
        <w:t>)</w:t>
      </w:r>
      <w:r w:rsidR="00564A4C">
        <w:t xml:space="preserve"> </w:t>
      </w:r>
      <w:r w:rsidR="00564A4C" w:rsidRPr="00564A4C">
        <w:t>malnutrition risk demonstrated by BMI was observed in 10.43% of patients.</w:t>
      </w:r>
      <w:r>
        <w:t xml:space="preserve">  </w:t>
      </w:r>
      <w:proofErr w:type="spellStart"/>
      <w:r w:rsidR="000E40CD" w:rsidRPr="00B87596">
        <w:t>Vlaming</w:t>
      </w:r>
      <w:proofErr w:type="spellEnd"/>
      <w:r w:rsidR="00CD1180">
        <w:t xml:space="preserve"> et al., 2001,</w:t>
      </w:r>
      <w:r w:rsidR="000E40CD" w:rsidRPr="00B87596">
        <w:t xml:space="preserve"> </w:t>
      </w:r>
      <w:r w:rsidR="00CD1180" w:rsidRPr="00B87596">
        <w:t>assess</w:t>
      </w:r>
      <w:r w:rsidR="00CD1180">
        <w:t xml:space="preserve">ed </w:t>
      </w:r>
      <w:r w:rsidR="00CD1180" w:rsidRPr="00B87596">
        <w:t>the</w:t>
      </w:r>
      <w:r w:rsidR="000E40CD" w:rsidRPr="00B87596">
        <w:t xml:space="preserve"> nutrition of 1561 patients on emergency admission to </w:t>
      </w:r>
      <w:r w:rsidR="00CD1180" w:rsidRPr="00B87596">
        <w:t>hospital</w:t>
      </w:r>
      <w:r w:rsidR="00CD1180">
        <w:t>;</w:t>
      </w:r>
      <w:r w:rsidR="00CC699C">
        <w:t xml:space="preserve"> they found th</w:t>
      </w:r>
      <w:r w:rsidR="000E40CD" w:rsidRPr="00B87596">
        <w:t xml:space="preserve">at 18.3% of patients were </w:t>
      </w:r>
      <w:r w:rsidR="00CD1180" w:rsidRPr="00B87596">
        <w:t xml:space="preserve">undernourished. </w:t>
      </w:r>
    </w:p>
    <w:p w:rsidR="00637E73" w:rsidRDefault="00000D15" w:rsidP="00A36087">
      <w:pPr>
        <w:bidi w:val="0"/>
        <w:ind w:firstLine="720"/>
        <w:rPr>
          <w:rFonts w:cs="Times-Italic"/>
        </w:rPr>
      </w:pPr>
      <w:r w:rsidRPr="00A36087">
        <w:t>In a national survey</w:t>
      </w:r>
      <w:r w:rsidR="007846AD" w:rsidRPr="00A36087">
        <w:t xml:space="preserve"> from Netherlands</w:t>
      </w:r>
      <w:r w:rsidRPr="00A36087">
        <w:t xml:space="preserve"> (</w:t>
      </w:r>
      <w:r w:rsidR="005453D4" w:rsidRPr="00A36087">
        <w:t xml:space="preserve">Kruizenga </w:t>
      </w:r>
      <w:r w:rsidRPr="00A36087">
        <w:t xml:space="preserve">et al., 2003) </w:t>
      </w:r>
      <w:r w:rsidR="007846AD" w:rsidRPr="00A36087">
        <w:t xml:space="preserve">Screening of nutritional status in The Netherlands and </w:t>
      </w:r>
      <w:r w:rsidRPr="00A36087">
        <w:t>conducted on 7,367 patients, approximately 25% of patients in all medical fields were categorized as moderately or severely malnourished. It was found that 12% of all patients appeared</w:t>
      </w:r>
      <w:r w:rsidRPr="00E13012">
        <w:t xml:space="preserve"> to be malnourished and 13% were at risk of malnutrition. . Elderly patients were more at risk of malnutrition</w:t>
      </w:r>
      <w:r w:rsidR="007846AD" w:rsidRPr="00E13012">
        <w:t>.</w:t>
      </w:r>
      <w:r w:rsidR="00A36087">
        <w:rPr>
          <w:rFonts w:cs="Times-Italic"/>
        </w:rPr>
        <w:t xml:space="preserve"> Also, </w:t>
      </w:r>
      <w:r w:rsidR="00637E73" w:rsidRPr="00637E73">
        <w:rPr>
          <w:rFonts w:cs="Times-Italic"/>
        </w:rPr>
        <w:t>a Brazilian study</w:t>
      </w:r>
      <w:r w:rsidR="00A36087">
        <w:rPr>
          <w:rFonts w:cs="Times-Italic"/>
        </w:rPr>
        <w:t xml:space="preserve"> done</w:t>
      </w:r>
      <w:r w:rsidR="00637E73" w:rsidRPr="00637E73">
        <w:rPr>
          <w:rFonts w:cs="Times-Italic"/>
        </w:rPr>
        <w:t xml:space="preserve"> by Leandro-Merhi and Braga de Aquino, (2010), they studied the Nutritional status and length of hospital stay for surgical patients.  Malnutrition was diagnosed in 14.1%</w:t>
      </w:r>
      <w:r w:rsidR="00587F8C">
        <w:rPr>
          <w:rFonts w:cs="Times-Italic"/>
        </w:rPr>
        <w:t xml:space="preserve">; </w:t>
      </w:r>
      <w:r w:rsidR="00637E73" w:rsidRPr="00637E73">
        <w:rPr>
          <w:rFonts w:cs="Times-Italic"/>
        </w:rPr>
        <w:t>in only 2.97% of the adult patients (aged</w:t>
      </w:r>
      <w:r w:rsidR="00F22F8C">
        <w:rPr>
          <w:rFonts w:cs="Times-Italic"/>
        </w:rPr>
        <w:t xml:space="preserve"> </w:t>
      </w:r>
      <w:r w:rsidR="00F22F8C">
        <w:rPr>
          <w:rFonts w:ascii="Times New Roman" w:hAnsi="Times New Roman" w:cs="Times New Roman"/>
        </w:rPr>
        <w:t>≤</w:t>
      </w:r>
      <w:r w:rsidR="00637E73" w:rsidRPr="00637E73">
        <w:rPr>
          <w:rFonts w:cs="Times-Italic"/>
        </w:rPr>
        <w:t xml:space="preserve"> 59 years) and in 36.6% of the elderly patients (aged 60 </w:t>
      </w:r>
      <w:r w:rsidR="00F22F8C">
        <w:rPr>
          <w:rFonts w:ascii="Times New Roman" w:hAnsi="Times New Roman" w:cs="Times New Roman"/>
        </w:rPr>
        <w:t>≥</w:t>
      </w:r>
      <w:r w:rsidR="00637E73" w:rsidRPr="00637E73">
        <w:rPr>
          <w:rFonts w:cs="Times-Italic"/>
        </w:rPr>
        <w:t xml:space="preserve"> years</w:t>
      </w:r>
      <w:r w:rsidR="00F22F8C">
        <w:rPr>
          <w:rFonts w:cs="Times-Italic"/>
        </w:rPr>
        <w:t>)</w:t>
      </w:r>
    </w:p>
    <w:p w:rsidR="00637E73" w:rsidRDefault="00A36087" w:rsidP="00FC130A">
      <w:pPr>
        <w:bidi w:val="0"/>
        <w:ind w:firstLine="720"/>
        <w:rPr>
          <w:rFonts w:cs="Times-Italic"/>
        </w:rPr>
      </w:pPr>
      <w:r>
        <w:rPr>
          <w:rFonts w:cs="Times-Italic"/>
        </w:rPr>
        <w:t xml:space="preserve">In this study, </w:t>
      </w:r>
      <w:r w:rsidRPr="00A36087">
        <w:rPr>
          <w:rFonts w:cs="Times-Italic"/>
        </w:rPr>
        <w:t>Prolonged Length of stay was significantly more in females (62% vs 38% p 0.017)</w:t>
      </w:r>
      <w:r w:rsidR="00272B2D">
        <w:rPr>
          <w:rFonts w:cs="Times-Italic"/>
        </w:rPr>
        <w:t>,</w:t>
      </w:r>
      <w:r w:rsidRPr="00A36087">
        <w:rPr>
          <w:rFonts w:cs="Times-Italic"/>
        </w:rPr>
        <w:t xml:space="preserve"> while no significant difference</w:t>
      </w:r>
      <w:r w:rsidR="00272B2D">
        <w:rPr>
          <w:rFonts w:cs="Times-Italic"/>
        </w:rPr>
        <w:t xml:space="preserve"> between</w:t>
      </w:r>
      <w:r w:rsidR="00CC49BB">
        <w:rPr>
          <w:rFonts w:cs="Times-Italic"/>
        </w:rPr>
        <w:t xml:space="preserve"> </w:t>
      </w:r>
      <w:r w:rsidRPr="00A36087">
        <w:rPr>
          <w:rFonts w:cs="Times-Italic"/>
        </w:rPr>
        <w:t xml:space="preserve">HLOS </w:t>
      </w:r>
      <w:r w:rsidR="00272B2D">
        <w:rPr>
          <w:rFonts w:cs="Times-Italic"/>
        </w:rPr>
        <w:t>and</w:t>
      </w:r>
      <w:r w:rsidRPr="00A36087">
        <w:rPr>
          <w:rFonts w:cs="Times-Italic"/>
        </w:rPr>
        <w:t xml:space="preserve"> the nutrition status, cause of admi</w:t>
      </w:r>
      <w:r w:rsidR="00D02B8A">
        <w:rPr>
          <w:rFonts w:cs="Times-Italic"/>
        </w:rPr>
        <w:t>ssion and patient's nationality</w:t>
      </w:r>
      <w:r w:rsidR="004C0CB6">
        <w:rPr>
          <w:rFonts w:cs="Times-Italic"/>
        </w:rPr>
        <w:t>.</w:t>
      </w:r>
      <w:r w:rsidR="00D02B8A">
        <w:rPr>
          <w:rFonts w:cs="Times-Italic"/>
        </w:rPr>
        <w:t xml:space="preserve"> </w:t>
      </w:r>
      <w:r w:rsidR="004C0CB6">
        <w:rPr>
          <w:rFonts w:cs="Times-Italic"/>
        </w:rPr>
        <w:t>T</w:t>
      </w:r>
      <w:r w:rsidR="00D02B8A">
        <w:rPr>
          <w:rFonts w:cs="Times-Italic"/>
        </w:rPr>
        <w:t xml:space="preserve">hese results need </w:t>
      </w:r>
      <w:r w:rsidR="00CC49BB">
        <w:rPr>
          <w:rFonts w:cs="Times-Italic"/>
        </w:rPr>
        <w:t xml:space="preserve">to be repeated on </w:t>
      </w:r>
      <w:r w:rsidR="00D02B8A">
        <w:rPr>
          <w:rFonts w:cs="Times-Italic"/>
        </w:rPr>
        <w:t xml:space="preserve">larger </w:t>
      </w:r>
      <w:r w:rsidR="004C0CB6">
        <w:rPr>
          <w:rFonts w:cs="Times-Italic"/>
        </w:rPr>
        <w:t>scale</w:t>
      </w:r>
      <w:r w:rsidR="00D02B8A">
        <w:rPr>
          <w:rFonts w:cs="Times-Italic"/>
        </w:rPr>
        <w:t xml:space="preserve"> </w:t>
      </w:r>
      <w:r w:rsidR="004C0CB6">
        <w:rPr>
          <w:rFonts w:cs="Times-Italic"/>
        </w:rPr>
        <w:t>as many reports was</w:t>
      </w:r>
      <w:r w:rsidR="00235593">
        <w:rPr>
          <w:rFonts w:cs="Times-Italic"/>
        </w:rPr>
        <w:t xml:space="preserve"> different from</w:t>
      </w:r>
      <w:r w:rsidR="004C0CB6">
        <w:rPr>
          <w:rFonts w:cs="Times-Italic"/>
        </w:rPr>
        <w:t xml:space="preserve"> these results</w:t>
      </w:r>
      <w:r w:rsidR="00FC130A">
        <w:rPr>
          <w:rFonts w:cs="Times-Italic"/>
        </w:rPr>
        <w:t>, this may be explained by the small number of patients and the fact that hajj patients are not homogenous group..</w:t>
      </w:r>
      <w:r w:rsidR="00272B2D">
        <w:rPr>
          <w:rFonts w:cs="Times-Italic"/>
        </w:rPr>
        <w:t xml:space="preserve"> </w:t>
      </w:r>
    </w:p>
    <w:p w:rsidR="007846AD" w:rsidRDefault="00637E73" w:rsidP="00FC130A">
      <w:pPr>
        <w:bidi w:val="0"/>
        <w:ind w:firstLine="720"/>
        <w:jc w:val="both"/>
        <w:rPr>
          <w:rFonts w:cs="Times-Italic"/>
        </w:rPr>
      </w:pPr>
      <w:r w:rsidRPr="00637E73">
        <w:rPr>
          <w:rFonts w:cs="Times-Italic"/>
        </w:rPr>
        <w:t>In an American study published in 1997</w:t>
      </w:r>
      <w:r w:rsidR="00597190">
        <w:rPr>
          <w:rFonts w:cs="Times-Italic"/>
        </w:rPr>
        <w:t xml:space="preserve"> by </w:t>
      </w:r>
      <w:r w:rsidR="00D07938">
        <w:rPr>
          <w:rFonts w:cs="Times-Italic"/>
        </w:rPr>
        <w:t>C</w:t>
      </w:r>
      <w:r w:rsidRPr="00637E73">
        <w:rPr>
          <w:rFonts w:cs="Times-Italic"/>
        </w:rPr>
        <w:t xml:space="preserve">hima et al., Median HLOS in </w:t>
      </w:r>
      <w:r w:rsidR="00597190">
        <w:rPr>
          <w:rFonts w:cs="Times-Italic"/>
        </w:rPr>
        <w:t xml:space="preserve">56 </w:t>
      </w:r>
      <w:r w:rsidRPr="00637E73">
        <w:rPr>
          <w:rFonts w:cs="Times-Italic"/>
        </w:rPr>
        <w:t>malnourished patients was significantly greater than</w:t>
      </w:r>
      <w:r w:rsidR="00597190">
        <w:rPr>
          <w:rFonts w:cs="Times-Italic"/>
        </w:rPr>
        <w:t xml:space="preserve"> 117</w:t>
      </w:r>
      <w:r w:rsidRPr="00637E73">
        <w:rPr>
          <w:rFonts w:cs="Times-Italic"/>
        </w:rPr>
        <w:t xml:space="preserve"> well-nourished p</w:t>
      </w:r>
      <w:r w:rsidR="00CC49BB">
        <w:rPr>
          <w:rFonts w:cs="Times-Italic"/>
        </w:rPr>
        <w:t>atients (6 vs 4 days p &lt; 0.01)</w:t>
      </w:r>
      <w:r w:rsidR="00C05A8A">
        <w:rPr>
          <w:rFonts w:cs="Times-Italic"/>
        </w:rPr>
        <w:t>.</w:t>
      </w:r>
      <w:r w:rsidR="00CC49BB">
        <w:rPr>
          <w:rFonts w:cs="Times-Italic"/>
        </w:rPr>
        <w:t xml:space="preserve"> while in </w:t>
      </w:r>
      <w:r w:rsidR="007846AD" w:rsidRPr="007846AD">
        <w:rPr>
          <w:rFonts w:cs="Times-Italic"/>
        </w:rPr>
        <w:t>a study on a Brazilian old age patients discussing the relation between malnutrition and length of hospital stay</w:t>
      </w:r>
      <w:r w:rsidR="009B56AB">
        <w:rPr>
          <w:rFonts w:cs="Times-Italic"/>
        </w:rPr>
        <w:t>;</w:t>
      </w:r>
      <w:r w:rsidR="007846AD" w:rsidRPr="007846AD">
        <w:rPr>
          <w:rFonts w:cs="Times-Italic"/>
        </w:rPr>
        <w:t xml:space="preserve"> </w:t>
      </w:r>
      <w:r w:rsidR="009B56AB">
        <w:rPr>
          <w:rFonts w:cs="Times-Italic"/>
        </w:rPr>
        <w:t>t</w:t>
      </w:r>
      <w:r w:rsidR="007846AD" w:rsidRPr="007846AD">
        <w:rPr>
          <w:rFonts w:cs="Times-Italic"/>
        </w:rPr>
        <w:t>he mean age of patients was 50.67 +/- 17.3 years</w:t>
      </w:r>
      <w:r w:rsidR="009B56AB">
        <w:rPr>
          <w:rFonts w:cs="Times-Italic"/>
        </w:rPr>
        <w:t>, and</w:t>
      </w:r>
      <w:r w:rsidR="007846AD" w:rsidRPr="007846AD">
        <w:rPr>
          <w:rFonts w:cs="Times-Italic"/>
        </w:rPr>
        <w:t xml:space="preserve"> 50.2% </w:t>
      </w:r>
      <w:r w:rsidR="009B56AB">
        <w:rPr>
          <w:rFonts w:cs="Times-Italic"/>
        </w:rPr>
        <w:t>of patients were</w:t>
      </w:r>
      <w:r w:rsidR="007846AD" w:rsidRPr="007846AD">
        <w:rPr>
          <w:rFonts w:cs="Times-Italic"/>
        </w:rPr>
        <w:t xml:space="preserve"> male</w:t>
      </w:r>
      <w:r w:rsidR="009B56AB">
        <w:rPr>
          <w:rFonts w:cs="Times-Italic"/>
        </w:rPr>
        <w:t>s</w:t>
      </w:r>
      <w:r w:rsidR="007846AD" w:rsidRPr="007846AD">
        <w:rPr>
          <w:rFonts w:cs="Times-Italic"/>
        </w:rPr>
        <w:t>. Malnourished patients stayed in the hospital for 16.7 days vs 10.1 days in the nourished patients</w:t>
      </w:r>
      <w:r w:rsidR="00CC49BB">
        <w:rPr>
          <w:rFonts w:cs="Times-Italic"/>
        </w:rPr>
        <w:t xml:space="preserve"> </w:t>
      </w:r>
      <w:r w:rsidR="00CC49BB" w:rsidRPr="00CC49BB">
        <w:rPr>
          <w:rFonts w:cs="Times-Italic"/>
        </w:rPr>
        <w:t>(Waitzberg et al., 2001)</w:t>
      </w:r>
      <w:r w:rsidR="007846AD" w:rsidRPr="007846AD">
        <w:rPr>
          <w:rFonts w:cs="Times-Italic"/>
        </w:rPr>
        <w:t>.</w:t>
      </w:r>
      <w:r w:rsidR="00694C76">
        <w:rPr>
          <w:rFonts w:cs="Times-Italic"/>
        </w:rPr>
        <w:t xml:space="preserve"> The same </w:t>
      </w:r>
      <w:r w:rsidR="0024580A">
        <w:rPr>
          <w:rFonts w:cs="Times-Italic"/>
        </w:rPr>
        <w:t>findings w</w:t>
      </w:r>
      <w:r w:rsidR="009B56AB">
        <w:rPr>
          <w:rFonts w:cs="Times-Italic"/>
        </w:rPr>
        <w:t>ere</w:t>
      </w:r>
      <w:r w:rsidR="0024580A">
        <w:rPr>
          <w:rFonts w:cs="Times-Italic"/>
        </w:rPr>
        <w:t xml:space="preserve"> reported </w:t>
      </w:r>
      <w:r w:rsidR="00694C76">
        <w:rPr>
          <w:rFonts w:cs="Times-Italic"/>
        </w:rPr>
        <w:t xml:space="preserve">by </w:t>
      </w:r>
      <w:r w:rsidR="00694C76" w:rsidRPr="00694C76">
        <w:rPr>
          <w:rFonts w:cs="Times-Italic"/>
        </w:rPr>
        <w:t xml:space="preserve">Isabel </w:t>
      </w:r>
      <w:r w:rsidRPr="00637E73">
        <w:rPr>
          <w:rFonts w:cs="Times-Italic"/>
        </w:rPr>
        <w:t>et al., (2003</w:t>
      </w:r>
      <w:r w:rsidR="009B56AB">
        <w:rPr>
          <w:rFonts w:cs="Times-Italic"/>
        </w:rPr>
        <w:t>) and</w:t>
      </w:r>
      <w:r w:rsidR="00CC49BB" w:rsidRPr="00CC49BB">
        <w:rPr>
          <w:rFonts w:cs="Times-Italic"/>
        </w:rPr>
        <w:t xml:space="preserve"> Kyle et al., 2005</w:t>
      </w:r>
      <w:r w:rsidR="009B56AB">
        <w:rPr>
          <w:rFonts w:cs="Times-Italic"/>
        </w:rPr>
        <w:t xml:space="preserve"> from</w:t>
      </w:r>
      <w:r w:rsidR="009B56AB" w:rsidRPr="009B56AB">
        <w:rPr>
          <w:rFonts w:cs="Times-Italic"/>
        </w:rPr>
        <w:t xml:space="preserve"> Switzerland</w:t>
      </w:r>
      <w:r w:rsidR="009B56AB">
        <w:rPr>
          <w:rFonts w:cs="Times-Italic"/>
        </w:rPr>
        <w:t>.</w:t>
      </w:r>
      <w:r w:rsidR="00171A82" w:rsidRPr="00171A82">
        <w:t xml:space="preserve"> </w:t>
      </w:r>
      <w:r w:rsidR="00272B2D" w:rsidRPr="00C05A8A">
        <w:t>This</w:t>
      </w:r>
      <w:r w:rsidR="00C05A8A" w:rsidRPr="00C05A8A">
        <w:t xml:space="preserve"> is supported by a Brazilian study by Leandro-Merhi and Braga de Aquino, (2010), and they studied the Nutritional status and length of hospital stay for surgical patients.  HLOS was more in males</w:t>
      </w:r>
      <w:r w:rsidR="00FC130A">
        <w:t xml:space="preserve"> vs females (median 5 vs 3 days). </w:t>
      </w:r>
      <w:r w:rsidR="00171A82" w:rsidRPr="00171A82">
        <w:rPr>
          <w:rFonts w:cs="Times-Italic"/>
        </w:rPr>
        <w:t>Another study from Brazil by Leandro-Merhi, et al.,</w:t>
      </w:r>
      <w:r w:rsidR="00E93BD4">
        <w:rPr>
          <w:rFonts w:cs="Times-Italic"/>
        </w:rPr>
        <w:t xml:space="preserve"> published in</w:t>
      </w:r>
      <w:r w:rsidR="00171A82" w:rsidRPr="00171A82">
        <w:rPr>
          <w:rFonts w:cs="Times-Italic"/>
        </w:rPr>
        <w:t xml:space="preserve"> 2011, the authors tried to find out the factors affecting the HLOS and they found that; the disease itself was the factor that influenced LOS the most in the studied population. Longer LOS prevailed in males (P &lt; .0001), patients aged ≥60 years (P = .0008) and malnourished patients (P = .0034).</w:t>
      </w:r>
    </w:p>
    <w:p w:rsidR="00637E73" w:rsidRDefault="00637E73" w:rsidP="00637E73">
      <w:pPr>
        <w:autoSpaceDE w:val="0"/>
        <w:autoSpaceDN w:val="0"/>
        <w:bidi w:val="0"/>
        <w:adjustRightInd w:val="0"/>
        <w:spacing w:after="0" w:line="240" w:lineRule="auto"/>
        <w:ind w:firstLine="720"/>
        <w:jc w:val="both"/>
        <w:rPr>
          <w:rFonts w:cs="Times-Italic"/>
        </w:rPr>
      </w:pPr>
    </w:p>
    <w:p w:rsidR="00DC2E67" w:rsidRDefault="007846AD" w:rsidP="00C05A8A">
      <w:pPr>
        <w:autoSpaceDE w:val="0"/>
        <w:autoSpaceDN w:val="0"/>
        <w:bidi w:val="0"/>
        <w:adjustRightInd w:val="0"/>
        <w:spacing w:after="0" w:line="240" w:lineRule="auto"/>
        <w:jc w:val="both"/>
      </w:pPr>
      <w:r>
        <w:tab/>
      </w:r>
      <w:r w:rsidR="00CC49BB" w:rsidRPr="00CC49BB">
        <w:t>In this study, MAC, TSF and MAMC were considered as good indicators of nutrition status (p value 0.000, 0.000, 0.003 respectively)</w:t>
      </w:r>
      <w:r w:rsidR="009B56AB">
        <w:t xml:space="preserve">, </w:t>
      </w:r>
      <w:r w:rsidR="00C05A8A">
        <w:rPr>
          <w:rFonts w:cs="Times-Italic"/>
        </w:rPr>
        <w:t xml:space="preserve">this is supported by </w:t>
      </w:r>
      <w:r w:rsidR="00000D15" w:rsidRPr="00000D15">
        <w:rPr>
          <w:rFonts w:cs="Times-Italic"/>
        </w:rPr>
        <w:t>James et al., 1994</w:t>
      </w:r>
      <w:r w:rsidR="00171A82">
        <w:rPr>
          <w:rFonts w:cs="Times-Italic"/>
        </w:rPr>
        <w:t>,</w:t>
      </w:r>
      <w:r w:rsidR="00000D15" w:rsidRPr="00000D15">
        <w:rPr>
          <w:rFonts w:cs="Times-Italic"/>
        </w:rPr>
        <w:t xml:space="preserve"> </w:t>
      </w:r>
      <w:r w:rsidR="00C05A8A">
        <w:rPr>
          <w:rFonts w:cs="Times-Italic"/>
        </w:rPr>
        <w:t xml:space="preserve">who </w:t>
      </w:r>
      <w:r w:rsidR="001B7913">
        <w:rPr>
          <w:rFonts w:cs="Times-Italic"/>
        </w:rPr>
        <w:t>v</w:t>
      </w:r>
      <w:r w:rsidR="00000D15" w:rsidRPr="00000D15">
        <w:rPr>
          <w:rFonts w:cs="Times-Italic"/>
        </w:rPr>
        <w:t>ariously sampled adults from selected regions of five African countries, India, China and Papua New Guinea were measured and proved that Mid-upper arm circumference (MUAC) was found to be a simple screening test of nutritional state. In combination with BMI it may be a better means of discriminating the at-risk underweight adults from those who are thin but not at risk.</w:t>
      </w:r>
      <w:r w:rsidR="00C05A8A">
        <w:rPr>
          <w:rFonts w:cs="Times-Italic"/>
        </w:rPr>
        <w:t xml:space="preserve"> </w:t>
      </w:r>
      <w:r w:rsidR="00E93BD4">
        <w:t>Also,</w:t>
      </w:r>
      <w:r w:rsidR="00C05A8A">
        <w:t xml:space="preserve"> </w:t>
      </w:r>
      <w:proofErr w:type="spellStart"/>
      <w:r w:rsidR="00000D15" w:rsidRPr="00000D15">
        <w:t>Vlaming</w:t>
      </w:r>
      <w:proofErr w:type="spellEnd"/>
      <w:r w:rsidR="00000D15" w:rsidRPr="00000D15">
        <w:t xml:space="preserve"> et al., 2001, assessed the nutrition of 1561 patients on emergency admission to hospital; they found that </w:t>
      </w:r>
      <w:r w:rsidR="00000D15">
        <w:t>t</w:t>
      </w:r>
      <w:r w:rsidR="00000D15" w:rsidRPr="00000D15">
        <w:t>here was a close relationship between BMI and MUAC. BMI was poor predictor of hospital stay. MUAC is easier to measure and predicts poor outcome better.</w:t>
      </w:r>
    </w:p>
    <w:p w:rsidR="00000D15" w:rsidRDefault="00000D15" w:rsidP="00000D15">
      <w:pPr>
        <w:autoSpaceDE w:val="0"/>
        <w:autoSpaceDN w:val="0"/>
        <w:bidi w:val="0"/>
        <w:adjustRightInd w:val="0"/>
        <w:spacing w:after="0" w:line="240" w:lineRule="auto"/>
      </w:pPr>
    </w:p>
    <w:p w:rsidR="00687FFE" w:rsidRPr="00A31BD8" w:rsidRDefault="00687FFE" w:rsidP="00A3048E">
      <w:pPr>
        <w:autoSpaceDE w:val="0"/>
        <w:autoSpaceDN w:val="0"/>
        <w:bidi w:val="0"/>
        <w:adjustRightInd w:val="0"/>
        <w:spacing w:after="0" w:line="240" w:lineRule="auto"/>
      </w:pPr>
    </w:p>
    <w:p w:rsidR="00A31BD8" w:rsidRPr="00992929" w:rsidRDefault="00A31BD8" w:rsidP="00992929">
      <w:pPr>
        <w:autoSpaceDE w:val="0"/>
        <w:autoSpaceDN w:val="0"/>
        <w:bidi w:val="0"/>
        <w:adjustRightInd w:val="0"/>
        <w:spacing w:after="0" w:line="240" w:lineRule="auto"/>
        <w:jc w:val="right"/>
      </w:pPr>
    </w:p>
    <w:p w:rsidR="00992929" w:rsidRPr="00992929" w:rsidRDefault="00A502B2" w:rsidP="00992929">
      <w:pPr>
        <w:autoSpaceDE w:val="0"/>
        <w:autoSpaceDN w:val="0"/>
        <w:bidi w:val="0"/>
        <w:adjustRightInd w:val="0"/>
        <w:spacing w:after="0" w:line="240" w:lineRule="auto"/>
        <w:rPr>
          <w:rFonts w:cs="Times-Italic"/>
          <w:sz w:val="28"/>
          <w:szCs w:val="26"/>
        </w:rPr>
      </w:pPr>
      <w:r w:rsidRPr="00992929">
        <w:rPr>
          <w:rFonts w:cs="Times-Italic"/>
          <w:sz w:val="28"/>
          <w:szCs w:val="26"/>
        </w:rPr>
        <w:t xml:space="preserve"> </w:t>
      </w:r>
      <w:r w:rsidR="00992929" w:rsidRPr="00992929">
        <w:rPr>
          <w:rFonts w:cs="Times-Italic"/>
          <w:sz w:val="28"/>
          <w:szCs w:val="26"/>
        </w:rPr>
        <w:t>Summary</w:t>
      </w:r>
    </w:p>
    <w:p w:rsidR="00992929" w:rsidRPr="00992929" w:rsidRDefault="00992929" w:rsidP="00992929">
      <w:pPr>
        <w:autoSpaceDE w:val="0"/>
        <w:autoSpaceDN w:val="0"/>
        <w:bidi w:val="0"/>
        <w:adjustRightInd w:val="0"/>
        <w:spacing w:after="0" w:line="240" w:lineRule="auto"/>
        <w:ind w:firstLine="720"/>
        <w:rPr>
          <w:rFonts w:cs="Times-Italic"/>
        </w:rPr>
      </w:pPr>
      <w:r w:rsidRPr="00992929">
        <w:rPr>
          <w:rFonts w:cs="Times New Roman"/>
          <w:rtl/>
        </w:rPr>
        <w:t xml:space="preserve"> </w:t>
      </w:r>
      <w:r w:rsidRPr="00992929">
        <w:rPr>
          <w:rFonts w:cs="Times-Italic"/>
        </w:rPr>
        <w:t>In 1430 Hajj season, 163 Hajj patients from 34 countries were admitted at the medical department. The mean age was 59.4 ± 11 yrs., 52.1% were elderly patients (age ≥ 60 yrs.), and 57.7% of patients were males. Under-nutrition was found in 23.9% of patients, most of them (84.6%) were elderly. The nutrition status significantly affect the cause of admission, respiratory diseases were the commonest cause of admission (44.2%); it was more common in undernourished, and less in obese patients in the reverse to neurological disease. Mean hospital length of stay was 3.9±2.47 days; it was more prolonged in females (p 0.017) and in obese patients (p&gt;0.05). Mid upper Arm Circumference is considered as a good indicator of nutrition status which is simple and easy especially in bedridden patients</w:t>
      </w:r>
      <w:r w:rsidRPr="00992929">
        <w:rPr>
          <w:rFonts w:cs="Times New Roman"/>
          <w:rtl/>
        </w:rPr>
        <w:t>.</w:t>
      </w:r>
    </w:p>
    <w:p w:rsidR="00992929" w:rsidRPr="00992929" w:rsidRDefault="00992929" w:rsidP="00992929">
      <w:pPr>
        <w:autoSpaceDE w:val="0"/>
        <w:autoSpaceDN w:val="0"/>
        <w:bidi w:val="0"/>
        <w:adjustRightInd w:val="0"/>
        <w:spacing w:after="0" w:line="240" w:lineRule="auto"/>
        <w:rPr>
          <w:rFonts w:cs="Times-Italic"/>
        </w:rPr>
      </w:pPr>
      <w:r w:rsidRPr="00992929">
        <w:rPr>
          <w:rFonts w:cs="Times-Italic"/>
          <w:sz w:val="28"/>
          <w:szCs w:val="26"/>
        </w:rPr>
        <w:t>Conclusion</w:t>
      </w:r>
    </w:p>
    <w:p w:rsidR="00752A8F" w:rsidRDefault="00992929" w:rsidP="00992929">
      <w:pPr>
        <w:autoSpaceDE w:val="0"/>
        <w:autoSpaceDN w:val="0"/>
        <w:bidi w:val="0"/>
        <w:adjustRightInd w:val="0"/>
        <w:spacing w:after="0" w:line="240" w:lineRule="auto"/>
        <w:ind w:firstLine="720"/>
        <w:rPr>
          <w:rFonts w:cs="Times-Italic"/>
        </w:rPr>
      </w:pPr>
      <w:r w:rsidRPr="00992929">
        <w:rPr>
          <w:rFonts w:cs="Times-Italic"/>
        </w:rPr>
        <w:t>Nutritional assessment should be routinely performed at admission for hajj patients which may help the local health authorities in their future planes. ).</w:t>
      </w:r>
    </w:p>
    <w:p w:rsidR="00752A8F" w:rsidRDefault="00752A8F" w:rsidP="00752A8F">
      <w:pPr>
        <w:autoSpaceDE w:val="0"/>
        <w:autoSpaceDN w:val="0"/>
        <w:bidi w:val="0"/>
        <w:adjustRightInd w:val="0"/>
        <w:spacing w:after="0" w:line="240" w:lineRule="auto"/>
        <w:ind w:firstLine="720"/>
        <w:rPr>
          <w:rFonts w:cs="Times-Italic"/>
        </w:rPr>
      </w:pPr>
      <w:r>
        <w:rPr>
          <w:rFonts w:cs="Times-Italic"/>
        </w:rPr>
        <w:t>Some nationalities are more prone to develop some diseases as respiratory or neurological diseases; this may be explained by the nutritional status and need to be validated in larger studies.</w:t>
      </w:r>
    </w:p>
    <w:p w:rsidR="00992929" w:rsidRPr="00992929" w:rsidRDefault="00992929" w:rsidP="00752A8F">
      <w:pPr>
        <w:autoSpaceDE w:val="0"/>
        <w:autoSpaceDN w:val="0"/>
        <w:bidi w:val="0"/>
        <w:adjustRightInd w:val="0"/>
        <w:spacing w:after="0" w:line="240" w:lineRule="auto"/>
        <w:ind w:firstLine="720"/>
        <w:rPr>
          <w:rFonts w:cs="Times-Italic"/>
        </w:rPr>
      </w:pPr>
      <w:r w:rsidRPr="00992929">
        <w:rPr>
          <w:rFonts w:cs="Times-Italic"/>
        </w:rPr>
        <w:t xml:space="preserve"> Mid upper Arm Circumference is considered as a good indicator of nutrition status which is simple and easy especially in bedridden patients</w:t>
      </w:r>
      <w:r w:rsidRPr="00992929">
        <w:rPr>
          <w:rFonts w:cs="Times New Roman"/>
          <w:rtl/>
        </w:rPr>
        <w:t>.</w:t>
      </w:r>
    </w:p>
    <w:p w:rsidR="00992929" w:rsidRPr="00992929" w:rsidRDefault="00992929" w:rsidP="00992929">
      <w:pPr>
        <w:autoSpaceDE w:val="0"/>
        <w:autoSpaceDN w:val="0"/>
        <w:bidi w:val="0"/>
        <w:adjustRightInd w:val="0"/>
        <w:spacing w:after="0" w:line="240" w:lineRule="auto"/>
        <w:rPr>
          <w:rFonts w:cs="Times-Italic"/>
          <w:sz w:val="28"/>
          <w:szCs w:val="26"/>
        </w:rPr>
      </w:pPr>
      <w:r w:rsidRPr="00992929">
        <w:rPr>
          <w:rFonts w:cs="Times-Italic"/>
          <w:sz w:val="28"/>
          <w:szCs w:val="26"/>
        </w:rPr>
        <w:t>Recommendation</w:t>
      </w:r>
    </w:p>
    <w:p w:rsidR="00FF3DA0" w:rsidRPr="00992929" w:rsidRDefault="00992929" w:rsidP="00992929">
      <w:pPr>
        <w:autoSpaceDE w:val="0"/>
        <w:autoSpaceDN w:val="0"/>
        <w:bidi w:val="0"/>
        <w:adjustRightInd w:val="0"/>
        <w:spacing w:after="0" w:line="240" w:lineRule="auto"/>
        <w:ind w:firstLine="720"/>
        <w:rPr>
          <w:rFonts w:cs="Times-Italic"/>
        </w:rPr>
      </w:pPr>
      <w:r w:rsidRPr="00992929">
        <w:rPr>
          <w:rFonts w:cs="Times-Italic"/>
        </w:rPr>
        <w:t xml:space="preserve">To repeat this study on larger scale and in other hospitals during Hajj and Omrah.  </w:t>
      </w:r>
    </w:p>
    <w:p w:rsidR="00E93BD4" w:rsidRPr="00992929" w:rsidRDefault="00E93BD4" w:rsidP="00E93BD4">
      <w:pPr>
        <w:autoSpaceDE w:val="0"/>
        <w:autoSpaceDN w:val="0"/>
        <w:bidi w:val="0"/>
        <w:adjustRightInd w:val="0"/>
        <w:spacing w:after="0" w:line="240" w:lineRule="auto"/>
        <w:rPr>
          <w:rFonts w:cs="Times-Italic"/>
        </w:rPr>
      </w:pPr>
    </w:p>
    <w:p w:rsidR="00E93BD4" w:rsidRPr="00992929" w:rsidRDefault="00E93BD4" w:rsidP="00E93BD4">
      <w:pPr>
        <w:autoSpaceDE w:val="0"/>
        <w:autoSpaceDN w:val="0"/>
        <w:bidi w:val="0"/>
        <w:adjustRightInd w:val="0"/>
        <w:spacing w:after="0" w:line="240" w:lineRule="auto"/>
        <w:rPr>
          <w:rFonts w:cs="Times-Italic"/>
        </w:rPr>
      </w:pPr>
    </w:p>
    <w:p w:rsidR="00E93BD4" w:rsidRPr="00A502B2" w:rsidRDefault="00E93BD4" w:rsidP="00E93BD4">
      <w:pPr>
        <w:autoSpaceDE w:val="0"/>
        <w:autoSpaceDN w:val="0"/>
        <w:bidi w:val="0"/>
        <w:adjustRightInd w:val="0"/>
        <w:spacing w:after="0" w:line="240" w:lineRule="auto"/>
        <w:rPr>
          <w:rFonts w:cs="Times-Italic"/>
          <w:sz w:val="48"/>
          <w:szCs w:val="36"/>
        </w:rPr>
      </w:pPr>
    </w:p>
    <w:p w:rsidR="00A502B2" w:rsidRDefault="00A502B2" w:rsidP="00A502B2">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rPr>
          <w:rFonts w:cs="Times-Italic"/>
        </w:rPr>
      </w:pPr>
    </w:p>
    <w:p w:rsidR="007B0A2B" w:rsidRDefault="007B0A2B" w:rsidP="007B0A2B">
      <w:pPr>
        <w:autoSpaceDE w:val="0"/>
        <w:autoSpaceDN w:val="0"/>
        <w:bidi w:val="0"/>
        <w:adjustRightInd w:val="0"/>
        <w:spacing w:after="0" w:line="240" w:lineRule="auto"/>
        <w:jc w:val="center"/>
        <w:rPr>
          <w:rFonts w:cs="Times-Italic"/>
          <w:sz w:val="28"/>
          <w:szCs w:val="26"/>
        </w:rPr>
      </w:pPr>
      <w:r w:rsidRPr="007B0A2B">
        <w:rPr>
          <w:rFonts w:cs="Times-Italic"/>
          <w:sz w:val="28"/>
          <w:szCs w:val="26"/>
        </w:rPr>
        <w:lastRenderedPageBreak/>
        <w:t>References</w:t>
      </w:r>
    </w:p>
    <w:p w:rsidR="007B0A2B" w:rsidRDefault="007B0A2B" w:rsidP="007B0A2B">
      <w:pPr>
        <w:autoSpaceDE w:val="0"/>
        <w:autoSpaceDN w:val="0"/>
        <w:bidi w:val="0"/>
        <w:adjustRightInd w:val="0"/>
        <w:spacing w:after="0" w:line="240" w:lineRule="auto"/>
        <w:rPr>
          <w:rFonts w:cs="Times-Italic"/>
          <w:sz w:val="28"/>
          <w:szCs w:val="26"/>
        </w:rPr>
      </w:pPr>
    </w:p>
    <w:p w:rsidR="007B0A2B" w:rsidRPr="007B0A2B" w:rsidRDefault="007B0A2B" w:rsidP="007B0A2B">
      <w:pPr>
        <w:autoSpaceDE w:val="0"/>
        <w:autoSpaceDN w:val="0"/>
        <w:bidi w:val="0"/>
        <w:adjustRightInd w:val="0"/>
        <w:spacing w:after="0" w:line="240" w:lineRule="auto"/>
        <w:rPr>
          <w:rFonts w:cs="Times-Italic"/>
        </w:rPr>
      </w:pPr>
    </w:p>
    <w:p w:rsidR="007B0A2B" w:rsidRPr="007B0A2B" w:rsidRDefault="007B0A2B" w:rsidP="007B0A2B">
      <w:pPr>
        <w:autoSpaceDE w:val="0"/>
        <w:autoSpaceDN w:val="0"/>
        <w:bidi w:val="0"/>
        <w:adjustRightInd w:val="0"/>
        <w:spacing w:after="0" w:line="240" w:lineRule="auto"/>
        <w:rPr>
          <w:rFonts w:cs="Times-Italic"/>
        </w:rPr>
      </w:pPr>
      <w:r>
        <w:rPr>
          <w:rFonts w:cs="Times New Roman"/>
        </w:rPr>
        <w:t xml:space="preserve">1. </w:t>
      </w:r>
      <w:r w:rsidRPr="007B0A2B">
        <w:rPr>
          <w:rFonts w:cs="Times New Roman"/>
          <w:rtl/>
        </w:rPr>
        <w:tab/>
      </w:r>
      <w:proofErr w:type="spellStart"/>
      <w:r w:rsidRPr="007B0A2B">
        <w:rPr>
          <w:rFonts w:cs="Times-Italic"/>
        </w:rPr>
        <w:t>Memish</w:t>
      </w:r>
      <w:proofErr w:type="spellEnd"/>
      <w:r w:rsidRPr="007B0A2B">
        <w:rPr>
          <w:rFonts w:cs="Times-Italic"/>
        </w:rPr>
        <w:t xml:space="preserve"> ZA, Stephens GM, Steffen R, Ahmed QA (2012): Emergence of medicine for mass gatherings: lessons from the Hajj. Lancet Infect Dis. 2012 Jan; 12(1):56-65. </w:t>
      </w:r>
      <w:proofErr w:type="spellStart"/>
      <w:r w:rsidRPr="007B0A2B">
        <w:rPr>
          <w:rFonts w:cs="Times-Italic"/>
        </w:rPr>
        <w:t>doi</w:t>
      </w:r>
      <w:proofErr w:type="spellEnd"/>
      <w:r w:rsidRPr="007B0A2B">
        <w:rPr>
          <w:rFonts w:cs="Times-Italic"/>
        </w:rPr>
        <w:t>: 10.1016/S1473-3099(11)70337-1</w:t>
      </w:r>
      <w:r w:rsidRPr="007B0A2B">
        <w:rPr>
          <w:rFonts w:cs="Times New Roman"/>
          <w:rtl/>
        </w:rPr>
        <w:t>.</w:t>
      </w:r>
    </w:p>
    <w:p w:rsidR="007B0A2B" w:rsidRPr="007B0A2B" w:rsidRDefault="007B0A2B" w:rsidP="007B0A2B">
      <w:pPr>
        <w:autoSpaceDE w:val="0"/>
        <w:autoSpaceDN w:val="0"/>
        <w:bidi w:val="0"/>
        <w:adjustRightInd w:val="0"/>
        <w:spacing w:after="0" w:line="240" w:lineRule="auto"/>
        <w:rPr>
          <w:rFonts w:cs="Times-Italic"/>
        </w:rPr>
      </w:pPr>
      <w:r>
        <w:rPr>
          <w:rFonts w:cs="Times New Roman"/>
        </w:rPr>
        <w:t>2.</w:t>
      </w:r>
      <w:r w:rsidRPr="007B0A2B">
        <w:rPr>
          <w:rFonts w:cs="Times New Roman"/>
          <w:rtl/>
        </w:rPr>
        <w:tab/>
      </w:r>
      <w:proofErr w:type="spellStart"/>
      <w:r w:rsidRPr="007B0A2B">
        <w:rPr>
          <w:rFonts w:cs="Times-Italic"/>
        </w:rPr>
        <w:t>Gautret</w:t>
      </w:r>
      <w:proofErr w:type="spellEnd"/>
      <w:r w:rsidRPr="007B0A2B">
        <w:rPr>
          <w:rFonts w:cs="Times-Italic"/>
        </w:rPr>
        <w:t xml:space="preserve"> P, </w:t>
      </w:r>
      <w:proofErr w:type="spellStart"/>
      <w:r w:rsidRPr="007B0A2B">
        <w:rPr>
          <w:rFonts w:cs="Times-Italic"/>
        </w:rPr>
        <w:t>Soula</w:t>
      </w:r>
      <w:proofErr w:type="spellEnd"/>
      <w:r w:rsidRPr="007B0A2B">
        <w:rPr>
          <w:rFonts w:cs="Times-Italic"/>
        </w:rPr>
        <w:t xml:space="preserve"> G, Delmont J, </w:t>
      </w:r>
      <w:proofErr w:type="spellStart"/>
      <w:r w:rsidRPr="007B0A2B">
        <w:rPr>
          <w:rFonts w:cs="Times-Italic"/>
        </w:rPr>
        <w:t>Parola</w:t>
      </w:r>
      <w:proofErr w:type="spellEnd"/>
      <w:r w:rsidRPr="007B0A2B">
        <w:rPr>
          <w:rFonts w:cs="Times-Italic"/>
        </w:rPr>
        <w:t xml:space="preserve"> P, </w:t>
      </w:r>
      <w:proofErr w:type="spellStart"/>
      <w:r w:rsidRPr="007B0A2B">
        <w:rPr>
          <w:rFonts w:cs="Times-Italic"/>
        </w:rPr>
        <w:t>Brouqui</w:t>
      </w:r>
      <w:proofErr w:type="spellEnd"/>
      <w:r w:rsidRPr="007B0A2B">
        <w:rPr>
          <w:rFonts w:cs="Times-Italic"/>
        </w:rPr>
        <w:t xml:space="preserve"> P (2009) Common health hazards in French pilgrims during the Hajj of 2007: a prospective cohort study. J Travel Med 16: 377-381.10.1111/j.1708-8305.2009.00358.x PubMed: 19930376. [PubMed</w:t>
      </w:r>
      <w:r w:rsidRPr="007B0A2B">
        <w:rPr>
          <w:rFonts w:cs="Times New Roman"/>
          <w:rtl/>
        </w:rPr>
        <w:t>)</w:t>
      </w:r>
    </w:p>
    <w:p w:rsidR="007B0A2B" w:rsidRPr="007B0A2B" w:rsidRDefault="007B0A2B" w:rsidP="007B0A2B">
      <w:pPr>
        <w:autoSpaceDE w:val="0"/>
        <w:autoSpaceDN w:val="0"/>
        <w:bidi w:val="0"/>
        <w:adjustRightInd w:val="0"/>
        <w:spacing w:after="0" w:line="240" w:lineRule="auto"/>
        <w:rPr>
          <w:rFonts w:cs="Times-Italic"/>
        </w:rPr>
      </w:pPr>
      <w:r>
        <w:rPr>
          <w:rFonts w:cs="Times New Roman"/>
        </w:rPr>
        <w:t>3.</w:t>
      </w:r>
      <w:r w:rsidRPr="007B0A2B">
        <w:rPr>
          <w:rFonts w:cs="Times New Roman"/>
          <w:rtl/>
        </w:rPr>
        <w:tab/>
      </w:r>
      <w:proofErr w:type="spellStart"/>
      <w:r w:rsidRPr="007B0A2B">
        <w:rPr>
          <w:rFonts w:cs="Times-Italic"/>
        </w:rPr>
        <w:t>Mandourah</w:t>
      </w:r>
      <w:proofErr w:type="spellEnd"/>
      <w:r w:rsidRPr="007B0A2B">
        <w:rPr>
          <w:rFonts w:cs="Times-Italic"/>
        </w:rPr>
        <w:t xml:space="preserve"> Y, </w:t>
      </w:r>
      <w:proofErr w:type="spellStart"/>
      <w:r w:rsidRPr="007B0A2B">
        <w:rPr>
          <w:rFonts w:cs="Times-Italic"/>
        </w:rPr>
        <w:t>Ocheltree</w:t>
      </w:r>
      <w:proofErr w:type="spellEnd"/>
      <w:r w:rsidRPr="007B0A2B">
        <w:rPr>
          <w:rFonts w:cs="Times-Italic"/>
        </w:rPr>
        <w:t xml:space="preserve"> A, Al </w:t>
      </w:r>
      <w:proofErr w:type="spellStart"/>
      <w:r w:rsidRPr="007B0A2B">
        <w:rPr>
          <w:rFonts w:cs="Times-Italic"/>
        </w:rPr>
        <w:t>Radi</w:t>
      </w:r>
      <w:proofErr w:type="spellEnd"/>
      <w:r w:rsidRPr="007B0A2B">
        <w:rPr>
          <w:rFonts w:cs="Times-Italic"/>
        </w:rPr>
        <w:t xml:space="preserve"> A, Fowler R (2012) The epidemiology of Hajj-related critical illness: lessons for deployment of temporary critical care services*. </w:t>
      </w:r>
      <w:proofErr w:type="spellStart"/>
      <w:r w:rsidRPr="007B0A2B">
        <w:rPr>
          <w:rFonts w:cs="Times-Italic"/>
        </w:rPr>
        <w:t>Crit</w:t>
      </w:r>
      <w:proofErr w:type="spellEnd"/>
      <w:r w:rsidRPr="007B0A2B">
        <w:rPr>
          <w:rFonts w:cs="Times-Italic"/>
        </w:rPr>
        <w:t xml:space="preserve"> Care Med 40: 829-834.10.1097/CCM.0b013e318236f49b PubMed: 22080635. [PubMed</w:t>
      </w:r>
      <w:r w:rsidRPr="007B0A2B">
        <w:rPr>
          <w:rFonts w:cs="Times New Roman"/>
          <w:rtl/>
        </w:rPr>
        <w:t>)</w:t>
      </w:r>
    </w:p>
    <w:p w:rsidR="007B0A2B" w:rsidRPr="007B0A2B" w:rsidRDefault="007B0A2B" w:rsidP="007B0A2B">
      <w:pPr>
        <w:autoSpaceDE w:val="0"/>
        <w:autoSpaceDN w:val="0"/>
        <w:bidi w:val="0"/>
        <w:adjustRightInd w:val="0"/>
        <w:spacing w:after="0" w:line="240" w:lineRule="auto"/>
        <w:rPr>
          <w:rFonts w:cs="Times-Italic"/>
        </w:rPr>
      </w:pPr>
      <w:r>
        <w:rPr>
          <w:rFonts w:cs="Times New Roman"/>
        </w:rPr>
        <w:t>4.</w:t>
      </w:r>
      <w:r w:rsidRPr="007B0A2B">
        <w:rPr>
          <w:rFonts w:cs="Times New Roman"/>
          <w:rtl/>
        </w:rPr>
        <w:tab/>
      </w:r>
      <w:r w:rsidRPr="007B0A2B">
        <w:rPr>
          <w:rFonts w:cs="Times-Italic"/>
        </w:rPr>
        <w:t>http://www.reference.md/files/D009/mD009752.htmlMedical Subject Headings (</w:t>
      </w:r>
      <w:proofErr w:type="spellStart"/>
      <w:r w:rsidRPr="007B0A2B">
        <w:rPr>
          <w:rFonts w:cs="Times-Italic"/>
        </w:rPr>
        <w:t>MeSH</w:t>
      </w:r>
      <w:proofErr w:type="spellEnd"/>
      <w:r w:rsidRPr="007B0A2B">
        <w:rPr>
          <w:rFonts w:cs="Times New Roman"/>
          <w:rtl/>
        </w:rPr>
        <w:t>®)</w:t>
      </w:r>
    </w:p>
    <w:p w:rsidR="007B0A2B" w:rsidRPr="007B0A2B" w:rsidRDefault="007B0A2B" w:rsidP="007B0A2B">
      <w:pPr>
        <w:autoSpaceDE w:val="0"/>
        <w:autoSpaceDN w:val="0"/>
        <w:bidi w:val="0"/>
        <w:adjustRightInd w:val="0"/>
        <w:spacing w:after="0" w:line="240" w:lineRule="auto"/>
        <w:rPr>
          <w:rFonts w:cs="Times-Italic"/>
        </w:rPr>
      </w:pPr>
      <w:r>
        <w:rPr>
          <w:rFonts w:cs="Times New Roman"/>
        </w:rPr>
        <w:t>5.</w:t>
      </w:r>
      <w:r w:rsidRPr="007B0A2B">
        <w:rPr>
          <w:rFonts w:cs="Times New Roman"/>
          <w:rtl/>
        </w:rPr>
        <w:tab/>
      </w:r>
      <w:r w:rsidRPr="007B0A2B">
        <w:rPr>
          <w:rFonts w:cs="Times-Italic"/>
        </w:rPr>
        <w:t xml:space="preserve">Lochs H, Allison SP, Meier R, </w:t>
      </w:r>
      <w:proofErr w:type="spellStart"/>
      <w:r w:rsidRPr="007B0A2B">
        <w:rPr>
          <w:rFonts w:cs="Times-Italic"/>
        </w:rPr>
        <w:t>Pirlich</w:t>
      </w:r>
      <w:proofErr w:type="spellEnd"/>
      <w:r w:rsidRPr="007B0A2B">
        <w:rPr>
          <w:rFonts w:cs="Times-Italic"/>
        </w:rPr>
        <w:t xml:space="preserve"> M, </w:t>
      </w:r>
      <w:proofErr w:type="spellStart"/>
      <w:r w:rsidRPr="007B0A2B">
        <w:rPr>
          <w:rFonts w:cs="Times-Italic"/>
        </w:rPr>
        <w:t>Kondrup</w:t>
      </w:r>
      <w:proofErr w:type="spellEnd"/>
      <w:r w:rsidRPr="007B0A2B">
        <w:rPr>
          <w:rFonts w:cs="Times-Italic"/>
        </w:rPr>
        <w:t xml:space="preserve"> J, Schneider S, et al. Introductory to the ESPEN Guidelines on Enteral Nutrition: Terminology, definitions and general topics. </w:t>
      </w:r>
      <w:proofErr w:type="spellStart"/>
      <w:r w:rsidRPr="007B0A2B">
        <w:rPr>
          <w:rFonts w:cs="Times-Italic"/>
        </w:rPr>
        <w:t>Clin</w:t>
      </w:r>
      <w:proofErr w:type="spellEnd"/>
      <w:r w:rsidRPr="007B0A2B">
        <w:rPr>
          <w:rFonts w:cs="Times-Italic"/>
        </w:rPr>
        <w:t xml:space="preserve"> </w:t>
      </w:r>
      <w:proofErr w:type="spellStart"/>
      <w:r w:rsidRPr="007B0A2B">
        <w:rPr>
          <w:rFonts w:cs="Times-Italic"/>
        </w:rPr>
        <w:t>Nutr</w:t>
      </w:r>
      <w:proofErr w:type="spellEnd"/>
      <w:r w:rsidRPr="007B0A2B">
        <w:rPr>
          <w:rFonts w:cs="Times-Italic"/>
        </w:rPr>
        <w:t xml:space="preserve"> 2006; 25(2):180-86</w:t>
      </w:r>
    </w:p>
    <w:p w:rsidR="007B0A2B" w:rsidRPr="007B0A2B" w:rsidRDefault="007B0A2B" w:rsidP="007B0A2B">
      <w:pPr>
        <w:autoSpaceDE w:val="0"/>
        <w:autoSpaceDN w:val="0"/>
        <w:bidi w:val="0"/>
        <w:adjustRightInd w:val="0"/>
        <w:spacing w:after="0" w:line="240" w:lineRule="auto"/>
        <w:rPr>
          <w:rFonts w:cs="Times-Italic"/>
        </w:rPr>
      </w:pPr>
      <w:r>
        <w:rPr>
          <w:rFonts w:cs="Times New Roman"/>
        </w:rPr>
        <w:t>6.</w:t>
      </w:r>
      <w:r w:rsidRPr="007B0A2B">
        <w:rPr>
          <w:rFonts w:cs="Times New Roman"/>
          <w:rtl/>
        </w:rPr>
        <w:tab/>
      </w:r>
      <w:proofErr w:type="spellStart"/>
      <w:r w:rsidRPr="007B0A2B">
        <w:rPr>
          <w:rFonts w:cs="Times-Italic"/>
        </w:rPr>
        <w:t>kyle</w:t>
      </w:r>
      <w:proofErr w:type="spellEnd"/>
      <w:r w:rsidRPr="007B0A2B">
        <w:rPr>
          <w:rFonts w:cs="Times-Italic"/>
        </w:rPr>
        <w:t xml:space="preserve"> UG and </w:t>
      </w:r>
      <w:proofErr w:type="spellStart"/>
      <w:r w:rsidRPr="007B0A2B">
        <w:rPr>
          <w:rFonts w:cs="Times-Italic"/>
        </w:rPr>
        <w:t>Coss</w:t>
      </w:r>
      <w:proofErr w:type="spellEnd"/>
      <w:r w:rsidRPr="007B0A2B">
        <w:rPr>
          <w:rFonts w:cs="Times-Italic"/>
        </w:rPr>
        <w:t>-Bu JA (2010): Nutritional assessment and length of hospital stay</w:t>
      </w:r>
    </w:p>
    <w:p w:rsidR="007B0A2B" w:rsidRPr="007B0A2B" w:rsidRDefault="007B0A2B" w:rsidP="007B0A2B">
      <w:pPr>
        <w:autoSpaceDE w:val="0"/>
        <w:autoSpaceDN w:val="0"/>
        <w:bidi w:val="0"/>
        <w:adjustRightInd w:val="0"/>
        <w:spacing w:after="0" w:line="240" w:lineRule="auto"/>
        <w:rPr>
          <w:rFonts w:cs="Times-Italic"/>
        </w:rPr>
      </w:pPr>
      <w:r w:rsidRPr="007B0A2B">
        <w:rPr>
          <w:rFonts w:cs="Times-Italic"/>
        </w:rPr>
        <w:t>CMAJ November 23, 2010   CMAJ. 2010 November 23; 182(17): 1831–1832</w:t>
      </w:r>
      <w:r w:rsidRPr="007B0A2B">
        <w:rPr>
          <w:rFonts w:cs="Times New Roman"/>
          <w:rtl/>
        </w:rPr>
        <w:t>.</w:t>
      </w:r>
    </w:p>
    <w:p w:rsidR="007B0A2B" w:rsidRPr="007B0A2B" w:rsidRDefault="007B0A2B" w:rsidP="007B0A2B">
      <w:pPr>
        <w:autoSpaceDE w:val="0"/>
        <w:autoSpaceDN w:val="0"/>
        <w:bidi w:val="0"/>
        <w:adjustRightInd w:val="0"/>
        <w:spacing w:after="0" w:line="240" w:lineRule="auto"/>
        <w:rPr>
          <w:rFonts w:cs="Times-Italic"/>
        </w:rPr>
      </w:pPr>
      <w:r>
        <w:rPr>
          <w:rFonts w:cs="Times New Roman"/>
        </w:rPr>
        <w:t>7.</w:t>
      </w:r>
      <w:r w:rsidRPr="007B0A2B">
        <w:rPr>
          <w:rFonts w:cs="Times New Roman"/>
          <w:rtl/>
        </w:rPr>
        <w:tab/>
      </w:r>
      <w:proofErr w:type="spellStart"/>
      <w:r w:rsidRPr="007B0A2B">
        <w:rPr>
          <w:rFonts w:cs="Times-Italic"/>
        </w:rPr>
        <w:t>Memish</w:t>
      </w:r>
      <w:proofErr w:type="spellEnd"/>
      <w:r w:rsidRPr="007B0A2B">
        <w:rPr>
          <w:rFonts w:cs="Times-Italic"/>
        </w:rPr>
        <w:t xml:space="preserve"> Z A  (2010): Rapid communications.  The Hajj: communicable and non-communicable health hazards and current guidance for pilgrims. </w:t>
      </w:r>
      <w:proofErr w:type="spellStart"/>
      <w:r w:rsidRPr="007B0A2B">
        <w:rPr>
          <w:rFonts w:cs="Times-Italic"/>
        </w:rPr>
        <w:t>Eurosurveillance</w:t>
      </w:r>
      <w:proofErr w:type="spellEnd"/>
      <w:r w:rsidRPr="007B0A2B">
        <w:rPr>
          <w:rFonts w:cs="Times-Italic"/>
        </w:rPr>
        <w:t>, Volume 15, Issue 39, 30 September 2010</w:t>
      </w:r>
      <w:r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8.</w:t>
      </w:r>
      <w:r w:rsidR="007B0A2B" w:rsidRPr="007B0A2B">
        <w:rPr>
          <w:rFonts w:cs="Times New Roman"/>
          <w:rtl/>
        </w:rPr>
        <w:tab/>
      </w:r>
      <w:r w:rsidR="007B0A2B" w:rsidRPr="007B0A2B">
        <w:rPr>
          <w:rFonts w:cs="Times-Italic"/>
        </w:rPr>
        <w:t xml:space="preserve">Murphy ME, </w:t>
      </w:r>
      <w:proofErr w:type="spellStart"/>
      <w:r w:rsidR="007B0A2B" w:rsidRPr="007B0A2B">
        <w:rPr>
          <w:rFonts w:cs="Times-Italic"/>
        </w:rPr>
        <w:t>Noetscher</w:t>
      </w:r>
      <w:proofErr w:type="spellEnd"/>
      <w:r w:rsidR="007B0A2B" w:rsidRPr="007B0A2B">
        <w:rPr>
          <w:rFonts w:cs="Times-Italic"/>
        </w:rPr>
        <w:t xml:space="preserve"> CM (1999): Reducing hospital inpatient lengths of stay. J </w:t>
      </w:r>
      <w:proofErr w:type="spellStart"/>
      <w:r w:rsidR="007B0A2B" w:rsidRPr="007B0A2B">
        <w:rPr>
          <w:rFonts w:cs="Times-Italic"/>
        </w:rPr>
        <w:t>Nurs</w:t>
      </w:r>
      <w:proofErr w:type="spellEnd"/>
      <w:r w:rsidR="007B0A2B" w:rsidRPr="007B0A2B">
        <w:rPr>
          <w:rFonts w:cs="Times-Italic"/>
        </w:rPr>
        <w:t xml:space="preserve"> Care Qual. 1999 </w:t>
      </w:r>
      <w:proofErr w:type="spellStart"/>
      <w:r w:rsidR="007B0A2B" w:rsidRPr="007B0A2B">
        <w:rPr>
          <w:rFonts w:cs="Times-Italic"/>
        </w:rPr>
        <w:t>Nov;Spec</w:t>
      </w:r>
      <w:proofErr w:type="spellEnd"/>
      <w:r w:rsidR="007B0A2B" w:rsidRPr="007B0A2B">
        <w:rPr>
          <w:rFonts w:cs="Times-Italic"/>
        </w:rPr>
        <w:t xml:space="preserve"> No:40-54</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9.</w:t>
      </w:r>
      <w:r w:rsidR="007B0A2B" w:rsidRPr="007B0A2B">
        <w:rPr>
          <w:rFonts w:cs="Times New Roman"/>
          <w:rtl/>
        </w:rPr>
        <w:tab/>
      </w:r>
      <w:r w:rsidR="007B0A2B" w:rsidRPr="007B0A2B">
        <w:rPr>
          <w:rFonts w:cs="Times-Italic"/>
        </w:rPr>
        <w:t>Mosby's Medical Dictionary, 8th edition. © 2009, Elsevier</w:t>
      </w:r>
      <w:r w:rsidR="007B0A2B" w:rsidRPr="007B0A2B">
        <w:rPr>
          <w:rFonts w:cs="Times New Roman"/>
          <w:rtl/>
        </w:rPr>
        <w:t>.</w:t>
      </w:r>
    </w:p>
    <w:p w:rsidR="007B0A2B" w:rsidRPr="007B0A2B" w:rsidRDefault="00617ADA" w:rsidP="00617ADA">
      <w:pPr>
        <w:autoSpaceDE w:val="0"/>
        <w:autoSpaceDN w:val="0"/>
        <w:bidi w:val="0"/>
        <w:adjustRightInd w:val="0"/>
        <w:spacing w:after="0" w:line="240" w:lineRule="auto"/>
        <w:rPr>
          <w:rFonts w:cs="Times-Italic"/>
        </w:rPr>
      </w:pPr>
      <w:r>
        <w:rPr>
          <w:rFonts w:cs="Times New Roman"/>
        </w:rPr>
        <w:t>10.</w:t>
      </w:r>
      <w:r w:rsidR="007B0A2B" w:rsidRPr="007B0A2B">
        <w:rPr>
          <w:rFonts w:cs="Times New Roman"/>
          <w:rtl/>
        </w:rPr>
        <w:tab/>
      </w:r>
      <w:r w:rsidR="007B0A2B" w:rsidRPr="007B0A2B">
        <w:rPr>
          <w:rFonts w:cs="Times-Italic"/>
        </w:rPr>
        <w:t>World Health Organization. Report of a WHO consultation on obesity. Obesity: preventing and managing the global epidemic. Geneva: World Health Organization, 1998</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11.</w:t>
      </w:r>
      <w:r w:rsidR="007B0A2B" w:rsidRPr="007B0A2B">
        <w:rPr>
          <w:rFonts w:cs="Times New Roman"/>
          <w:rtl/>
        </w:rPr>
        <w:tab/>
      </w:r>
      <w:r w:rsidR="007B0A2B" w:rsidRPr="007B0A2B">
        <w:rPr>
          <w:rFonts w:cs="Times-Italic"/>
        </w:rPr>
        <w:t>Lipschitz DA. (1994): Screening for nutritional status in the elderly.  Prim Care. 1994 Mar;21(1):55-67</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12.</w:t>
      </w:r>
      <w:r w:rsidR="007B0A2B" w:rsidRPr="007B0A2B">
        <w:rPr>
          <w:rFonts w:cs="Times New Roman"/>
          <w:rtl/>
        </w:rPr>
        <w:tab/>
      </w:r>
      <w:proofErr w:type="spellStart"/>
      <w:r w:rsidR="007B0A2B" w:rsidRPr="007B0A2B">
        <w:rPr>
          <w:rFonts w:cs="Times-Italic"/>
        </w:rPr>
        <w:t>Frisancho</w:t>
      </w:r>
      <w:proofErr w:type="spellEnd"/>
      <w:r w:rsidR="007B0A2B" w:rsidRPr="007B0A2B">
        <w:rPr>
          <w:rFonts w:cs="Times-Italic"/>
        </w:rPr>
        <w:t xml:space="preserve"> AR. (1981) New norms of upper limb fat and muscle areas for assessment of nutritional status. Am. J. </w:t>
      </w:r>
      <w:proofErr w:type="spellStart"/>
      <w:r w:rsidR="007B0A2B" w:rsidRPr="007B0A2B">
        <w:rPr>
          <w:rFonts w:cs="Times-Italic"/>
        </w:rPr>
        <w:t>Clin</w:t>
      </w:r>
      <w:proofErr w:type="spellEnd"/>
      <w:r w:rsidR="007B0A2B" w:rsidRPr="007B0A2B">
        <w:rPr>
          <w:rFonts w:cs="Times-Italic"/>
        </w:rPr>
        <w:t xml:space="preserve">. </w:t>
      </w:r>
      <w:proofErr w:type="spellStart"/>
      <w:r w:rsidR="007B0A2B" w:rsidRPr="007B0A2B">
        <w:rPr>
          <w:rFonts w:cs="Times-Italic"/>
        </w:rPr>
        <w:t>Nutr</w:t>
      </w:r>
      <w:proofErr w:type="spellEnd"/>
      <w:r w:rsidR="007B0A2B" w:rsidRPr="007B0A2B">
        <w:rPr>
          <w:rFonts w:cs="Times-Italic"/>
        </w:rPr>
        <w:t>. 34: 2540−2545</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13.</w:t>
      </w:r>
      <w:r w:rsidR="007B0A2B" w:rsidRPr="007B0A2B">
        <w:rPr>
          <w:rFonts w:cs="Times New Roman"/>
          <w:rtl/>
        </w:rPr>
        <w:tab/>
      </w:r>
      <w:r w:rsidR="007B0A2B" w:rsidRPr="007B0A2B">
        <w:rPr>
          <w:rFonts w:cs="Times-Italic"/>
        </w:rPr>
        <w:t xml:space="preserve">Powell-Tuck J, Hennessy EM. (2003): A comparison of mid upper arm circumference, body mass index and weight loss as indices of under nutrition in acutely hospitalized patients . </w:t>
      </w:r>
      <w:proofErr w:type="spellStart"/>
      <w:r w:rsidR="007B0A2B" w:rsidRPr="007B0A2B">
        <w:rPr>
          <w:rFonts w:cs="Times-Italic"/>
        </w:rPr>
        <w:t>Clin</w:t>
      </w:r>
      <w:proofErr w:type="spellEnd"/>
      <w:r w:rsidR="007B0A2B" w:rsidRPr="007B0A2B">
        <w:rPr>
          <w:rFonts w:cs="Times-Italic"/>
        </w:rPr>
        <w:t xml:space="preserve"> </w:t>
      </w:r>
      <w:proofErr w:type="spellStart"/>
      <w:r w:rsidR="007B0A2B" w:rsidRPr="007B0A2B">
        <w:rPr>
          <w:rFonts w:cs="Times-Italic"/>
        </w:rPr>
        <w:t>Nutr</w:t>
      </w:r>
      <w:proofErr w:type="spellEnd"/>
      <w:r w:rsidR="007B0A2B" w:rsidRPr="007B0A2B">
        <w:rPr>
          <w:rFonts w:cs="Times-Italic"/>
        </w:rPr>
        <w:t>. 2003 Jun;22(3):307-12</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14.</w:t>
      </w:r>
      <w:r w:rsidR="007B0A2B" w:rsidRPr="007B0A2B">
        <w:rPr>
          <w:rFonts w:cs="Times New Roman"/>
          <w:rtl/>
        </w:rPr>
        <w:tab/>
      </w:r>
      <w:r w:rsidR="007B0A2B" w:rsidRPr="007B0A2B">
        <w:rPr>
          <w:rFonts w:cs="Times-Italic"/>
        </w:rPr>
        <w:t>Bishop C W, Bowen P E, Ritchey, S J (1981): Norms for nutritional assessment of American adults by upper arm anthropometry. American Journal of Clinical Nutrition (Impact Factor: 6.5). 12/1981; 34(11):2530</w:t>
      </w:r>
    </w:p>
    <w:p w:rsidR="007B0A2B" w:rsidRPr="007B0A2B" w:rsidRDefault="00617ADA" w:rsidP="007B0A2B">
      <w:pPr>
        <w:autoSpaceDE w:val="0"/>
        <w:autoSpaceDN w:val="0"/>
        <w:bidi w:val="0"/>
        <w:adjustRightInd w:val="0"/>
        <w:spacing w:after="0" w:line="240" w:lineRule="auto"/>
        <w:rPr>
          <w:rFonts w:cs="Times-Italic"/>
        </w:rPr>
      </w:pPr>
      <w:r>
        <w:rPr>
          <w:rFonts w:cs="Times New Roman"/>
        </w:rPr>
        <w:t>15.</w:t>
      </w:r>
      <w:r w:rsidR="007B0A2B" w:rsidRPr="007B0A2B">
        <w:rPr>
          <w:rFonts w:cs="Times New Roman"/>
          <w:rtl/>
        </w:rPr>
        <w:tab/>
      </w:r>
      <w:r w:rsidR="007B0A2B" w:rsidRPr="007B0A2B">
        <w:rPr>
          <w:rFonts w:cs="Times-Italic"/>
        </w:rPr>
        <w:t>Saeed M. Al-</w:t>
      </w:r>
      <w:proofErr w:type="spellStart"/>
      <w:r w:rsidR="007B0A2B" w:rsidRPr="007B0A2B">
        <w:rPr>
          <w:rFonts w:cs="Times-Italic"/>
        </w:rPr>
        <w:t>Ghamdi</w:t>
      </w:r>
      <w:proofErr w:type="spellEnd"/>
      <w:r w:rsidR="007B0A2B" w:rsidRPr="007B0A2B">
        <w:rPr>
          <w:rFonts w:cs="Times-Italic"/>
        </w:rPr>
        <w:t xml:space="preserve">,  </w:t>
      </w:r>
      <w:proofErr w:type="spellStart"/>
      <w:r w:rsidR="007B0A2B" w:rsidRPr="007B0A2B">
        <w:rPr>
          <w:rFonts w:cs="Times-Italic"/>
        </w:rPr>
        <w:t>Hisham</w:t>
      </w:r>
      <w:proofErr w:type="spellEnd"/>
      <w:r w:rsidR="007B0A2B" w:rsidRPr="007B0A2B">
        <w:rPr>
          <w:rFonts w:cs="Times-Italic"/>
        </w:rPr>
        <w:t xml:space="preserve"> O. Akbar,  </w:t>
      </w:r>
      <w:proofErr w:type="spellStart"/>
      <w:r w:rsidR="007B0A2B" w:rsidRPr="007B0A2B">
        <w:rPr>
          <w:rFonts w:cs="Times-Italic"/>
        </w:rPr>
        <w:t>Yousif</w:t>
      </w:r>
      <w:proofErr w:type="spellEnd"/>
      <w:r w:rsidR="007B0A2B" w:rsidRPr="007B0A2B">
        <w:rPr>
          <w:rFonts w:cs="Times-Italic"/>
        </w:rPr>
        <w:t xml:space="preserve"> A. </w:t>
      </w:r>
      <w:proofErr w:type="spellStart"/>
      <w:r w:rsidR="007B0A2B" w:rsidRPr="007B0A2B">
        <w:rPr>
          <w:rFonts w:cs="Times-Italic"/>
        </w:rPr>
        <w:t>Qari</w:t>
      </w:r>
      <w:proofErr w:type="spellEnd"/>
      <w:r w:rsidR="007B0A2B" w:rsidRPr="007B0A2B">
        <w:rPr>
          <w:rFonts w:cs="Times-Italic"/>
        </w:rPr>
        <w:t xml:space="preserve">,  Omer  A. </w:t>
      </w:r>
      <w:proofErr w:type="spellStart"/>
      <w:r w:rsidR="007B0A2B" w:rsidRPr="007B0A2B">
        <w:rPr>
          <w:rFonts w:cs="Times-Italic"/>
        </w:rPr>
        <w:t>Fathaldin</w:t>
      </w:r>
      <w:proofErr w:type="spellEnd"/>
      <w:r w:rsidR="007B0A2B" w:rsidRPr="007B0A2B">
        <w:rPr>
          <w:rFonts w:cs="Times-Italic"/>
        </w:rPr>
        <w:t xml:space="preserve">,  </w:t>
      </w:r>
      <w:proofErr w:type="spellStart"/>
      <w:r w:rsidR="007B0A2B" w:rsidRPr="007B0A2B">
        <w:rPr>
          <w:rFonts w:cs="Times-Italic"/>
        </w:rPr>
        <w:t>Rahed</w:t>
      </w:r>
      <w:proofErr w:type="spellEnd"/>
      <w:r w:rsidR="007B0A2B" w:rsidRPr="007B0A2B">
        <w:rPr>
          <w:rFonts w:cs="Times-Italic"/>
        </w:rPr>
        <w:t xml:space="preserve"> S. Al-</w:t>
      </w:r>
      <w:proofErr w:type="spellStart"/>
      <w:r w:rsidR="007B0A2B" w:rsidRPr="007B0A2B">
        <w:rPr>
          <w:rFonts w:cs="Times-Italic"/>
        </w:rPr>
        <w:t>Rashed</w:t>
      </w:r>
      <w:proofErr w:type="spellEnd"/>
      <w:r w:rsidR="007B0A2B" w:rsidRPr="007B0A2B">
        <w:rPr>
          <w:rFonts w:cs="Times-Italic"/>
        </w:rPr>
        <w:t>.   (2003): Pattern of admission to hospitals during Muslim pilgrimage (Hajj). Saudi Medical Journal 2003; Vol. 24 (10): 1073-1076</w:t>
      </w:r>
    </w:p>
    <w:p w:rsidR="007B0A2B" w:rsidRPr="007B0A2B" w:rsidRDefault="00617ADA" w:rsidP="007B0A2B">
      <w:pPr>
        <w:autoSpaceDE w:val="0"/>
        <w:autoSpaceDN w:val="0"/>
        <w:bidi w:val="0"/>
        <w:adjustRightInd w:val="0"/>
        <w:spacing w:after="0" w:line="240" w:lineRule="auto"/>
        <w:rPr>
          <w:rFonts w:cs="Times-Italic"/>
        </w:rPr>
      </w:pPr>
      <w:r>
        <w:rPr>
          <w:rFonts w:cs="Times New Roman"/>
        </w:rPr>
        <w:t>16.</w:t>
      </w:r>
      <w:r w:rsidR="007B0A2B" w:rsidRPr="007B0A2B">
        <w:rPr>
          <w:rFonts w:cs="Times New Roman"/>
          <w:rtl/>
        </w:rPr>
        <w:tab/>
      </w:r>
      <w:r w:rsidR="007B0A2B" w:rsidRPr="007B0A2B">
        <w:rPr>
          <w:rFonts w:cs="Times-Italic"/>
        </w:rPr>
        <w:t xml:space="preserve">Khan NA, </w:t>
      </w:r>
      <w:proofErr w:type="spellStart"/>
      <w:r w:rsidR="007B0A2B" w:rsidRPr="007B0A2B">
        <w:rPr>
          <w:rFonts w:cs="Times-Italic"/>
        </w:rPr>
        <w:t>Ishag</w:t>
      </w:r>
      <w:proofErr w:type="spellEnd"/>
      <w:r w:rsidR="007B0A2B" w:rsidRPr="007B0A2B">
        <w:rPr>
          <w:rFonts w:cs="Times-Italic"/>
        </w:rPr>
        <w:t xml:space="preserve"> AM, Ahmad MS, El-</w:t>
      </w:r>
      <w:proofErr w:type="spellStart"/>
      <w:r w:rsidR="007B0A2B" w:rsidRPr="007B0A2B">
        <w:rPr>
          <w:rFonts w:cs="Times-Italic"/>
        </w:rPr>
        <w:t>Sayed</w:t>
      </w:r>
      <w:proofErr w:type="spellEnd"/>
      <w:r w:rsidR="007B0A2B" w:rsidRPr="007B0A2B">
        <w:rPr>
          <w:rFonts w:cs="Times-Italic"/>
        </w:rPr>
        <w:t xml:space="preserve"> FM, </w:t>
      </w:r>
      <w:proofErr w:type="spellStart"/>
      <w:r w:rsidR="007B0A2B" w:rsidRPr="007B0A2B">
        <w:rPr>
          <w:rFonts w:cs="Times-Italic"/>
        </w:rPr>
        <w:t>Bachal</w:t>
      </w:r>
      <w:proofErr w:type="spellEnd"/>
      <w:r w:rsidR="007B0A2B" w:rsidRPr="007B0A2B">
        <w:rPr>
          <w:rFonts w:cs="Times-Italic"/>
        </w:rPr>
        <w:t xml:space="preserve"> ZA, Abbas TG. (2006): Pattern of medical diseases and determinants of prognosis of hospitalization during 2005 Muslim pilgrimage Hajj in a tertiary care hospital. A prospective cohort study. Saudi Med J. 2006 Sep;27(9):1373-80</w:t>
      </w:r>
      <w:r w:rsidR="007B0A2B" w:rsidRPr="007B0A2B">
        <w:rPr>
          <w:rFonts w:cs="Times New Roman"/>
          <w:rtl/>
        </w:rPr>
        <w:t xml:space="preserve">.  </w:t>
      </w:r>
    </w:p>
    <w:p w:rsidR="00617ADA" w:rsidRDefault="00617ADA" w:rsidP="00617ADA">
      <w:pPr>
        <w:autoSpaceDE w:val="0"/>
        <w:autoSpaceDN w:val="0"/>
        <w:bidi w:val="0"/>
        <w:adjustRightInd w:val="0"/>
        <w:spacing w:after="0" w:line="240" w:lineRule="auto"/>
      </w:pPr>
      <w:r>
        <w:rPr>
          <w:rFonts w:cs="Times New Roman"/>
        </w:rPr>
        <w:t>17.</w:t>
      </w:r>
      <w:r w:rsidR="007B0A2B" w:rsidRPr="007B0A2B">
        <w:rPr>
          <w:rFonts w:cs="Times New Roman"/>
          <w:rtl/>
        </w:rPr>
        <w:tab/>
      </w:r>
      <w:proofErr w:type="spellStart"/>
      <w:r w:rsidR="007B0A2B" w:rsidRPr="007B0A2B">
        <w:rPr>
          <w:rFonts w:cs="Times-Italic"/>
        </w:rPr>
        <w:t>Madani</w:t>
      </w:r>
      <w:proofErr w:type="spellEnd"/>
      <w:r w:rsidR="007B0A2B" w:rsidRPr="007B0A2B">
        <w:rPr>
          <w:rFonts w:cs="Times-Italic"/>
        </w:rPr>
        <w:t xml:space="preserve"> TA, </w:t>
      </w:r>
      <w:proofErr w:type="spellStart"/>
      <w:r w:rsidR="007B0A2B" w:rsidRPr="007B0A2B">
        <w:rPr>
          <w:rFonts w:cs="Times-Italic"/>
        </w:rPr>
        <w:t>Ghabrah</w:t>
      </w:r>
      <w:proofErr w:type="spellEnd"/>
      <w:r w:rsidR="007B0A2B" w:rsidRPr="007B0A2B">
        <w:rPr>
          <w:rFonts w:cs="Times-Italic"/>
        </w:rPr>
        <w:t xml:space="preserve"> TM, </w:t>
      </w:r>
      <w:proofErr w:type="spellStart"/>
      <w:r w:rsidR="007B0A2B" w:rsidRPr="007B0A2B">
        <w:rPr>
          <w:rFonts w:cs="Times-Italic"/>
        </w:rPr>
        <w:t>Albarrak</w:t>
      </w:r>
      <w:proofErr w:type="spellEnd"/>
      <w:r w:rsidR="007B0A2B" w:rsidRPr="007B0A2B">
        <w:rPr>
          <w:rFonts w:cs="Times-Italic"/>
        </w:rPr>
        <w:t xml:space="preserve"> AM, </w:t>
      </w:r>
      <w:proofErr w:type="spellStart"/>
      <w:r w:rsidR="007B0A2B" w:rsidRPr="007B0A2B">
        <w:rPr>
          <w:rFonts w:cs="Times-Italic"/>
        </w:rPr>
        <w:t>Alhazmi</w:t>
      </w:r>
      <w:proofErr w:type="spellEnd"/>
      <w:r w:rsidR="007B0A2B" w:rsidRPr="007B0A2B">
        <w:rPr>
          <w:rFonts w:cs="Times-Italic"/>
        </w:rPr>
        <w:t xml:space="preserve"> MA, </w:t>
      </w:r>
      <w:proofErr w:type="spellStart"/>
      <w:r w:rsidR="007B0A2B" w:rsidRPr="007B0A2B">
        <w:rPr>
          <w:rFonts w:cs="Times-Italic"/>
        </w:rPr>
        <w:t>Alazraqi</w:t>
      </w:r>
      <w:proofErr w:type="spellEnd"/>
      <w:r w:rsidR="007B0A2B" w:rsidRPr="007B0A2B">
        <w:rPr>
          <w:rFonts w:cs="Times-Italic"/>
        </w:rPr>
        <w:t xml:space="preserve"> TA, </w:t>
      </w:r>
      <w:proofErr w:type="spellStart"/>
      <w:r w:rsidR="007B0A2B" w:rsidRPr="007B0A2B">
        <w:rPr>
          <w:rFonts w:cs="Times-Italic"/>
        </w:rPr>
        <w:t>Althaqafi</w:t>
      </w:r>
      <w:proofErr w:type="spellEnd"/>
      <w:r w:rsidR="007B0A2B" w:rsidRPr="007B0A2B">
        <w:rPr>
          <w:rFonts w:cs="Times-Italic"/>
        </w:rPr>
        <w:t xml:space="preserve"> AO, </w:t>
      </w:r>
      <w:proofErr w:type="spellStart"/>
      <w:r w:rsidR="007B0A2B" w:rsidRPr="007B0A2B">
        <w:rPr>
          <w:rFonts w:cs="Times-Italic"/>
        </w:rPr>
        <w:t>Ishaq</w:t>
      </w:r>
      <w:proofErr w:type="spellEnd"/>
      <w:r w:rsidR="007B0A2B" w:rsidRPr="007B0A2B">
        <w:rPr>
          <w:rFonts w:cs="Times-Italic"/>
        </w:rPr>
        <w:t xml:space="preserve"> A (2007): Causes of admission to intensive care units in the Hajj period of the Islamic year 1424 (2004(. Ann Saudi Med. 2007 Mar-Apr; 27(2):101-5</w:t>
      </w:r>
      <w:r w:rsidR="007B0A2B" w:rsidRPr="007B0A2B">
        <w:rPr>
          <w:rFonts w:cs="Times New Roman"/>
          <w:rtl/>
        </w:rPr>
        <w:t>.</w:t>
      </w:r>
    </w:p>
    <w:p w:rsidR="007B0A2B" w:rsidRPr="00617ADA" w:rsidRDefault="00617ADA" w:rsidP="00617ADA">
      <w:pPr>
        <w:autoSpaceDE w:val="0"/>
        <w:autoSpaceDN w:val="0"/>
        <w:bidi w:val="0"/>
        <w:adjustRightInd w:val="0"/>
        <w:spacing w:after="0" w:line="240" w:lineRule="auto"/>
      </w:pPr>
      <w:r>
        <w:rPr>
          <w:rFonts w:cs="Times New Roman"/>
        </w:rPr>
        <w:t>18.</w:t>
      </w:r>
      <w:r w:rsidR="007B0A2B" w:rsidRPr="007B0A2B">
        <w:rPr>
          <w:rFonts w:cs="Times New Roman"/>
          <w:rtl/>
        </w:rPr>
        <w:tab/>
      </w:r>
      <w:proofErr w:type="spellStart"/>
      <w:r w:rsidR="007B0A2B" w:rsidRPr="007B0A2B">
        <w:rPr>
          <w:rFonts w:cs="Times-Italic"/>
        </w:rPr>
        <w:t>Shafi</w:t>
      </w:r>
      <w:proofErr w:type="spellEnd"/>
      <w:r w:rsidR="007B0A2B" w:rsidRPr="007B0A2B">
        <w:rPr>
          <w:rFonts w:cs="Times-Italic"/>
        </w:rPr>
        <w:t xml:space="preserve"> S, </w:t>
      </w:r>
      <w:proofErr w:type="spellStart"/>
      <w:r w:rsidR="007B0A2B" w:rsidRPr="007B0A2B">
        <w:rPr>
          <w:rFonts w:cs="Times-Italic"/>
        </w:rPr>
        <w:t>Booy</w:t>
      </w:r>
      <w:proofErr w:type="spellEnd"/>
      <w:r w:rsidR="007B0A2B" w:rsidRPr="007B0A2B">
        <w:rPr>
          <w:rFonts w:cs="Times-Italic"/>
        </w:rPr>
        <w:t xml:space="preserve"> R, Haworth E, Rashid H, </w:t>
      </w:r>
      <w:proofErr w:type="spellStart"/>
      <w:r w:rsidR="007B0A2B" w:rsidRPr="007B0A2B">
        <w:rPr>
          <w:rFonts w:cs="Times-Italic"/>
        </w:rPr>
        <w:t>Memish</w:t>
      </w:r>
      <w:proofErr w:type="spellEnd"/>
      <w:r w:rsidR="007B0A2B" w:rsidRPr="007B0A2B">
        <w:rPr>
          <w:rFonts w:cs="Times-Italic"/>
        </w:rPr>
        <w:t xml:space="preserve"> ZA. (2008):  Hajj: health lessons for mass gatherings. J Infect Public Health. 2008;1(1):27-32. </w:t>
      </w:r>
      <w:proofErr w:type="spellStart"/>
      <w:r w:rsidR="007B0A2B" w:rsidRPr="007B0A2B">
        <w:rPr>
          <w:rFonts w:cs="Times-Italic"/>
        </w:rPr>
        <w:t>doi</w:t>
      </w:r>
      <w:proofErr w:type="spellEnd"/>
      <w:r w:rsidR="007B0A2B" w:rsidRPr="007B0A2B">
        <w:rPr>
          <w:rFonts w:cs="Times-Italic"/>
        </w:rPr>
        <w:t xml:space="preserve">: 10.1016/j.jiph.2008.08.008. </w:t>
      </w:r>
      <w:proofErr w:type="spellStart"/>
      <w:r w:rsidR="007B0A2B" w:rsidRPr="007B0A2B">
        <w:rPr>
          <w:rFonts w:cs="Times-Italic"/>
        </w:rPr>
        <w:t>Epub</w:t>
      </w:r>
      <w:proofErr w:type="spellEnd"/>
      <w:r w:rsidR="007B0A2B" w:rsidRPr="007B0A2B">
        <w:rPr>
          <w:rFonts w:cs="Times-Italic"/>
        </w:rPr>
        <w:t xml:space="preserve"> 2008 Oct 27</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lastRenderedPageBreak/>
        <w:t>19.</w:t>
      </w:r>
      <w:r w:rsidR="007B0A2B" w:rsidRPr="007B0A2B">
        <w:rPr>
          <w:rFonts w:cs="Times New Roman"/>
          <w:rtl/>
        </w:rPr>
        <w:tab/>
      </w:r>
      <w:proofErr w:type="spellStart"/>
      <w:r w:rsidR="007B0A2B" w:rsidRPr="007B0A2B">
        <w:rPr>
          <w:rFonts w:cs="Times-Italic"/>
        </w:rPr>
        <w:t>Yousaf</w:t>
      </w:r>
      <w:proofErr w:type="spellEnd"/>
      <w:r w:rsidR="007B0A2B" w:rsidRPr="007B0A2B">
        <w:rPr>
          <w:rFonts w:cs="Times-Italic"/>
        </w:rPr>
        <w:t xml:space="preserve"> M., Al-Saudi D.A.A., Sheikh R.A., Lone M.S., </w:t>
      </w:r>
      <w:proofErr w:type="spellStart"/>
      <w:r w:rsidR="007B0A2B" w:rsidRPr="007B0A2B">
        <w:rPr>
          <w:rFonts w:cs="Times-Italic"/>
        </w:rPr>
        <w:t>Yousaf</w:t>
      </w:r>
      <w:proofErr w:type="spellEnd"/>
      <w:r w:rsidR="007B0A2B" w:rsidRPr="007B0A2B">
        <w:rPr>
          <w:rFonts w:cs="Times-Italic"/>
        </w:rPr>
        <w:t xml:space="preserve"> S.M., Turner P.(1995): Pattern of medical problem among hajj pilgrims admitted to King Abdul Aziz Hospital, Medina Al-</w:t>
      </w:r>
      <w:proofErr w:type="spellStart"/>
      <w:r w:rsidR="007B0A2B" w:rsidRPr="007B0A2B">
        <w:rPr>
          <w:rFonts w:cs="Times-Italic"/>
        </w:rPr>
        <w:t>Munawarah</w:t>
      </w:r>
      <w:proofErr w:type="spellEnd"/>
      <w:r w:rsidR="007B0A2B" w:rsidRPr="007B0A2B">
        <w:rPr>
          <w:rFonts w:cs="Times-Italic"/>
        </w:rPr>
        <w:t>. Ann Saudi Med. 1995;15:619–621. [PubMed</w:t>
      </w:r>
    </w:p>
    <w:p w:rsidR="007B0A2B" w:rsidRPr="007B0A2B" w:rsidRDefault="00617ADA" w:rsidP="007B0A2B">
      <w:pPr>
        <w:autoSpaceDE w:val="0"/>
        <w:autoSpaceDN w:val="0"/>
        <w:bidi w:val="0"/>
        <w:adjustRightInd w:val="0"/>
        <w:spacing w:after="0" w:line="240" w:lineRule="auto"/>
        <w:rPr>
          <w:rFonts w:cs="Times-Italic"/>
        </w:rPr>
      </w:pPr>
      <w:r>
        <w:rPr>
          <w:rFonts w:cs="Times New Roman"/>
        </w:rPr>
        <w:t>20.</w:t>
      </w:r>
      <w:r w:rsidR="007B0A2B" w:rsidRPr="007B0A2B">
        <w:rPr>
          <w:rFonts w:cs="Times New Roman"/>
          <w:rtl/>
        </w:rPr>
        <w:tab/>
      </w:r>
      <w:r w:rsidR="007B0A2B" w:rsidRPr="007B0A2B">
        <w:rPr>
          <w:rFonts w:cs="Times-Italic"/>
        </w:rPr>
        <w:t>Al-</w:t>
      </w:r>
      <w:proofErr w:type="spellStart"/>
      <w:r w:rsidR="007B0A2B" w:rsidRPr="007B0A2B">
        <w:rPr>
          <w:rFonts w:cs="Times-Italic"/>
        </w:rPr>
        <w:t>Ghamdi</w:t>
      </w:r>
      <w:proofErr w:type="spellEnd"/>
      <w:r w:rsidR="007B0A2B" w:rsidRPr="007B0A2B">
        <w:rPr>
          <w:rFonts w:cs="Times-Italic"/>
        </w:rPr>
        <w:t xml:space="preserve"> S.M., Akbar H.O., </w:t>
      </w:r>
      <w:proofErr w:type="spellStart"/>
      <w:r w:rsidR="007B0A2B" w:rsidRPr="007B0A2B">
        <w:rPr>
          <w:rFonts w:cs="Times-Italic"/>
        </w:rPr>
        <w:t>Qari</w:t>
      </w:r>
      <w:proofErr w:type="spellEnd"/>
      <w:r w:rsidR="007B0A2B" w:rsidRPr="007B0A2B">
        <w:rPr>
          <w:rFonts w:cs="Times-Italic"/>
        </w:rPr>
        <w:t xml:space="preserve"> Y.A., </w:t>
      </w:r>
      <w:proofErr w:type="spellStart"/>
      <w:r w:rsidR="007B0A2B" w:rsidRPr="007B0A2B">
        <w:rPr>
          <w:rFonts w:cs="Times-Italic"/>
        </w:rPr>
        <w:t>Fathaldin</w:t>
      </w:r>
      <w:proofErr w:type="spellEnd"/>
      <w:r w:rsidR="007B0A2B" w:rsidRPr="007B0A2B">
        <w:rPr>
          <w:rFonts w:cs="Times-Italic"/>
        </w:rPr>
        <w:t xml:space="preserve"> O.A., Al-</w:t>
      </w:r>
      <w:proofErr w:type="spellStart"/>
      <w:r w:rsidR="007B0A2B" w:rsidRPr="007B0A2B">
        <w:rPr>
          <w:rFonts w:cs="Times-Italic"/>
        </w:rPr>
        <w:t>Rashed</w:t>
      </w:r>
      <w:proofErr w:type="spellEnd"/>
      <w:r w:rsidR="007B0A2B" w:rsidRPr="007B0A2B">
        <w:rPr>
          <w:rFonts w:cs="Times-Italic"/>
        </w:rPr>
        <w:t xml:space="preserve"> R.S. (2003): Pattern of admission to hospitals during </w:t>
      </w:r>
      <w:proofErr w:type="spellStart"/>
      <w:r w:rsidR="007B0A2B" w:rsidRPr="007B0A2B">
        <w:rPr>
          <w:rFonts w:cs="Times-Italic"/>
        </w:rPr>
        <w:t>muslim</w:t>
      </w:r>
      <w:proofErr w:type="spellEnd"/>
      <w:r w:rsidR="007B0A2B" w:rsidRPr="007B0A2B">
        <w:rPr>
          <w:rFonts w:cs="Times-Italic"/>
        </w:rPr>
        <w:t xml:space="preserve"> pilgrimage (Hajj) Saudi Med J. 2003;24(10):1073–1076. [PubMed</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21.</w:t>
      </w:r>
      <w:r w:rsidR="007B0A2B" w:rsidRPr="007B0A2B">
        <w:rPr>
          <w:rFonts w:cs="Times New Roman"/>
          <w:rtl/>
        </w:rPr>
        <w:tab/>
      </w:r>
      <w:proofErr w:type="spellStart"/>
      <w:r w:rsidR="007B0A2B" w:rsidRPr="007B0A2B">
        <w:rPr>
          <w:rFonts w:cs="Times-Italic"/>
        </w:rPr>
        <w:t>Balkhy</w:t>
      </w:r>
      <w:proofErr w:type="spellEnd"/>
      <w:r w:rsidR="007B0A2B" w:rsidRPr="007B0A2B">
        <w:rPr>
          <w:rFonts w:cs="Times-Italic"/>
        </w:rPr>
        <w:t xml:space="preserve"> HH, </w:t>
      </w:r>
      <w:proofErr w:type="spellStart"/>
      <w:r w:rsidR="007B0A2B" w:rsidRPr="007B0A2B">
        <w:rPr>
          <w:rFonts w:cs="Times-Italic"/>
        </w:rPr>
        <w:t>Memish</w:t>
      </w:r>
      <w:proofErr w:type="spellEnd"/>
      <w:r w:rsidR="007B0A2B" w:rsidRPr="007B0A2B">
        <w:rPr>
          <w:rFonts w:cs="Times-Italic"/>
        </w:rPr>
        <w:t xml:space="preserve"> ZA, </w:t>
      </w:r>
      <w:proofErr w:type="spellStart"/>
      <w:r w:rsidR="007B0A2B" w:rsidRPr="007B0A2B">
        <w:rPr>
          <w:rFonts w:cs="Times-Italic"/>
        </w:rPr>
        <w:t>Bafaqeer</w:t>
      </w:r>
      <w:proofErr w:type="spellEnd"/>
      <w:r w:rsidR="007B0A2B" w:rsidRPr="007B0A2B">
        <w:rPr>
          <w:rFonts w:cs="Times-Italic"/>
        </w:rPr>
        <w:t xml:space="preserve"> S, </w:t>
      </w:r>
      <w:proofErr w:type="spellStart"/>
      <w:r w:rsidR="007B0A2B" w:rsidRPr="007B0A2B">
        <w:rPr>
          <w:rFonts w:cs="Times-Italic"/>
        </w:rPr>
        <w:t>Almuneef</w:t>
      </w:r>
      <w:proofErr w:type="spellEnd"/>
      <w:r w:rsidR="007B0A2B" w:rsidRPr="007B0A2B">
        <w:rPr>
          <w:rFonts w:cs="Times-Italic"/>
        </w:rPr>
        <w:t xml:space="preserve"> MA.(2004): Influenza a common viral infection among Hajj pilgrims: time for routine surveillance and vaccination. J Travel Med. 2004;11(2):82-6</w:t>
      </w:r>
    </w:p>
    <w:p w:rsidR="007B0A2B" w:rsidRPr="007B0A2B" w:rsidRDefault="00617ADA" w:rsidP="007B0A2B">
      <w:pPr>
        <w:autoSpaceDE w:val="0"/>
        <w:autoSpaceDN w:val="0"/>
        <w:bidi w:val="0"/>
        <w:adjustRightInd w:val="0"/>
        <w:spacing w:after="0" w:line="240" w:lineRule="auto"/>
        <w:rPr>
          <w:rFonts w:cs="Times-Italic"/>
        </w:rPr>
      </w:pPr>
      <w:r>
        <w:rPr>
          <w:rFonts w:cs="Times New Roman"/>
        </w:rPr>
        <w:t>22.</w:t>
      </w:r>
      <w:r w:rsidR="007B0A2B" w:rsidRPr="007B0A2B">
        <w:rPr>
          <w:rFonts w:cs="Times New Roman"/>
          <w:rtl/>
        </w:rPr>
        <w:tab/>
      </w:r>
      <w:proofErr w:type="spellStart"/>
      <w:r w:rsidR="007B0A2B" w:rsidRPr="007B0A2B">
        <w:rPr>
          <w:rFonts w:cs="Times-Italic"/>
        </w:rPr>
        <w:t>Shakir</w:t>
      </w:r>
      <w:proofErr w:type="spellEnd"/>
      <w:r w:rsidR="007B0A2B" w:rsidRPr="007B0A2B">
        <w:rPr>
          <w:rFonts w:cs="Times-Italic"/>
        </w:rPr>
        <w:t xml:space="preserve"> </w:t>
      </w:r>
      <w:proofErr w:type="spellStart"/>
      <w:r w:rsidR="007B0A2B" w:rsidRPr="007B0A2B">
        <w:rPr>
          <w:rFonts w:cs="Times-Italic"/>
        </w:rPr>
        <w:t>Haani</w:t>
      </w:r>
      <w:proofErr w:type="spellEnd"/>
      <w:r w:rsidR="007B0A2B" w:rsidRPr="007B0A2B">
        <w:rPr>
          <w:rFonts w:cs="Times-Italic"/>
        </w:rPr>
        <w:t xml:space="preserve"> A.S., </w:t>
      </w:r>
      <w:proofErr w:type="spellStart"/>
      <w:r w:rsidR="007B0A2B" w:rsidRPr="007B0A2B">
        <w:rPr>
          <w:rFonts w:cs="Times-Italic"/>
        </w:rPr>
        <w:t>Gazzaz</w:t>
      </w:r>
      <w:proofErr w:type="spellEnd"/>
      <w:r w:rsidR="007B0A2B" w:rsidRPr="007B0A2B">
        <w:rPr>
          <w:rFonts w:cs="Times-Italic"/>
        </w:rPr>
        <w:t xml:space="preserve"> </w:t>
      </w:r>
      <w:proofErr w:type="spellStart"/>
      <w:r w:rsidR="007B0A2B" w:rsidRPr="007B0A2B">
        <w:rPr>
          <w:rFonts w:cs="Times-Italic"/>
        </w:rPr>
        <w:t>Zohair</w:t>
      </w:r>
      <w:proofErr w:type="spellEnd"/>
      <w:r w:rsidR="007B0A2B" w:rsidRPr="007B0A2B">
        <w:rPr>
          <w:rFonts w:cs="Times-Italic"/>
        </w:rPr>
        <w:t xml:space="preserve"> J., </w:t>
      </w:r>
      <w:proofErr w:type="spellStart"/>
      <w:r w:rsidR="007B0A2B" w:rsidRPr="007B0A2B">
        <w:rPr>
          <w:rFonts w:cs="Times-Italic"/>
        </w:rPr>
        <w:t>Dhaffar</w:t>
      </w:r>
      <w:proofErr w:type="spellEnd"/>
      <w:r w:rsidR="007B0A2B" w:rsidRPr="007B0A2B">
        <w:rPr>
          <w:rFonts w:cs="Times-Italic"/>
        </w:rPr>
        <w:t xml:space="preserve"> Khalid O., </w:t>
      </w:r>
      <w:proofErr w:type="spellStart"/>
      <w:r w:rsidR="007B0A2B" w:rsidRPr="007B0A2B">
        <w:rPr>
          <w:rFonts w:cs="Times-Italic"/>
        </w:rPr>
        <w:t>Shahbaz</w:t>
      </w:r>
      <w:proofErr w:type="spellEnd"/>
      <w:r w:rsidR="007B0A2B" w:rsidRPr="007B0A2B">
        <w:rPr>
          <w:rFonts w:cs="Times-Italic"/>
        </w:rPr>
        <w:t xml:space="preserve"> </w:t>
      </w:r>
      <w:proofErr w:type="spellStart"/>
      <w:r w:rsidR="007B0A2B" w:rsidRPr="007B0A2B">
        <w:rPr>
          <w:rFonts w:cs="Times-Italic"/>
        </w:rPr>
        <w:t>Javeria</w:t>
      </w:r>
      <w:proofErr w:type="spellEnd"/>
      <w:r w:rsidR="007B0A2B" w:rsidRPr="007B0A2B">
        <w:rPr>
          <w:rFonts w:cs="Times-Italic"/>
        </w:rPr>
        <w:t xml:space="preserve">.(2006): Outpatient services during (1423h) Hajj season. Sultan </w:t>
      </w:r>
      <w:proofErr w:type="spellStart"/>
      <w:r w:rsidR="007B0A2B" w:rsidRPr="007B0A2B">
        <w:rPr>
          <w:rFonts w:cs="Times-Italic"/>
        </w:rPr>
        <w:t>Qaboos</w:t>
      </w:r>
      <w:proofErr w:type="spellEnd"/>
      <w:r w:rsidR="007B0A2B" w:rsidRPr="007B0A2B">
        <w:rPr>
          <w:rFonts w:cs="Times-Italic"/>
        </w:rPr>
        <w:t xml:space="preserve"> </w:t>
      </w:r>
      <w:proofErr w:type="spellStart"/>
      <w:r w:rsidR="007B0A2B" w:rsidRPr="007B0A2B">
        <w:rPr>
          <w:rFonts w:cs="Times-Italic"/>
        </w:rPr>
        <w:t>Univ</w:t>
      </w:r>
      <w:proofErr w:type="spellEnd"/>
      <w:r w:rsidR="007B0A2B" w:rsidRPr="007B0A2B">
        <w:rPr>
          <w:rFonts w:cs="Times-Italic"/>
        </w:rPr>
        <w:t xml:space="preserve"> Med J. 6(1):47–50. [PMC free article] [PubMed</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23.</w:t>
      </w:r>
      <w:r w:rsidR="007B0A2B" w:rsidRPr="007B0A2B">
        <w:rPr>
          <w:rFonts w:cs="Times New Roman"/>
          <w:rtl/>
        </w:rPr>
        <w:tab/>
      </w:r>
      <w:proofErr w:type="spellStart"/>
      <w:r w:rsidR="007B0A2B" w:rsidRPr="007B0A2B">
        <w:rPr>
          <w:rFonts w:cs="Times-Italic"/>
        </w:rPr>
        <w:t>Alzeer</w:t>
      </w:r>
      <w:proofErr w:type="spellEnd"/>
      <w:r w:rsidR="007B0A2B" w:rsidRPr="007B0A2B">
        <w:rPr>
          <w:rFonts w:cs="Times-Italic"/>
        </w:rPr>
        <w:t xml:space="preserve"> A.H. Respiratory tract infection during Hajj.(2009): Ann </w:t>
      </w:r>
      <w:proofErr w:type="spellStart"/>
      <w:r w:rsidR="007B0A2B" w:rsidRPr="007B0A2B">
        <w:rPr>
          <w:rFonts w:cs="Times-Italic"/>
        </w:rPr>
        <w:t>Thorac</w:t>
      </w:r>
      <w:proofErr w:type="spellEnd"/>
      <w:r w:rsidR="007B0A2B" w:rsidRPr="007B0A2B">
        <w:rPr>
          <w:rFonts w:cs="Times-Italic"/>
        </w:rPr>
        <w:t xml:space="preserve"> Med.  4(2):50–53. [PMC free article] [PubMed</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24.</w:t>
      </w:r>
      <w:r w:rsidR="007B0A2B" w:rsidRPr="007B0A2B">
        <w:rPr>
          <w:rFonts w:cs="Times New Roman"/>
          <w:rtl/>
        </w:rPr>
        <w:tab/>
      </w:r>
      <w:proofErr w:type="spellStart"/>
      <w:r w:rsidR="007B0A2B" w:rsidRPr="007B0A2B">
        <w:rPr>
          <w:rFonts w:cs="Times-Italic"/>
        </w:rPr>
        <w:t>Masdalina</w:t>
      </w:r>
      <w:proofErr w:type="spellEnd"/>
      <w:r w:rsidR="007B0A2B" w:rsidRPr="007B0A2B">
        <w:rPr>
          <w:rFonts w:cs="Times-Italic"/>
        </w:rPr>
        <w:t xml:space="preserve"> Pane, </w:t>
      </w:r>
      <w:proofErr w:type="spellStart"/>
      <w:r w:rsidR="007B0A2B" w:rsidRPr="007B0A2B">
        <w:rPr>
          <w:rFonts w:cs="Times-Italic"/>
        </w:rPr>
        <w:t>Sholah</w:t>
      </w:r>
      <w:proofErr w:type="spellEnd"/>
      <w:r w:rsidR="007B0A2B" w:rsidRPr="007B0A2B">
        <w:rPr>
          <w:rFonts w:cs="Times-Italic"/>
        </w:rPr>
        <w:t xml:space="preserve"> </w:t>
      </w:r>
      <w:proofErr w:type="spellStart"/>
      <w:r w:rsidR="007B0A2B" w:rsidRPr="007B0A2B">
        <w:rPr>
          <w:rFonts w:cs="Times-Italic"/>
        </w:rPr>
        <w:t>Imari</w:t>
      </w:r>
      <w:proofErr w:type="spellEnd"/>
      <w:r w:rsidR="007B0A2B" w:rsidRPr="007B0A2B">
        <w:rPr>
          <w:rFonts w:cs="Times-Italic"/>
        </w:rPr>
        <w:t xml:space="preserve">, </w:t>
      </w:r>
      <w:proofErr w:type="spellStart"/>
      <w:r w:rsidR="007B0A2B" w:rsidRPr="007B0A2B">
        <w:rPr>
          <w:rFonts w:cs="Times-Italic"/>
        </w:rPr>
        <w:t>Qomariah</w:t>
      </w:r>
      <w:proofErr w:type="spellEnd"/>
      <w:r w:rsidR="007B0A2B" w:rsidRPr="007B0A2B">
        <w:rPr>
          <w:rFonts w:cs="Times-Italic"/>
        </w:rPr>
        <w:t xml:space="preserve"> </w:t>
      </w:r>
      <w:proofErr w:type="spellStart"/>
      <w:r w:rsidR="007B0A2B" w:rsidRPr="007B0A2B">
        <w:rPr>
          <w:rFonts w:cs="Times-Italic"/>
        </w:rPr>
        <w:t>Alwi</w:t>
      </w:r>
      <w:proofErr w:type="spellEnd"/>
      <w:r w:rsidR="007B0A2B" w:rsidRPr="007B0A2B">
        <w:rPr>
          <w:rFonts w:cs="Times-Italic"/>
        </w:rPr>
        <w:t xml:space="preserve">,  </w:t>
      </w:r>
      <w:proofErr w:type="spellStart"/>
      <w:r w:rsidR="007B0A2B" w:rsidRPr="007B0A2B">
        <w:rPr>
          <w:rFonts w:cs="Times-Italic"/>
        </w:rPr>
        <w:t>Nyoman</w:t>
      </w:r>
      <w:proofErr w:type="spellEnd"/>
      <w:r w:rsidR="007B0A2B" w:rsidRPr="007B0A2B">
        <w:rPr>
          <w:rFonts w:cs="Times-Italic"/>
        </w:rPr>
        <w:t xml:space="preserve">  </w:t>
      </w:r>
      <w:proofErr w:type="spellStart"/>
      <w:r w:rsidR="007B0A2B" w:rsidRPr="007B0A2B">
        <w:rPr>
          <w:rFonts w:cs="Times-Italic"/>
        </w:rPr>
        <w:t>Kandun</w:t>
      </w:r>
      <w:proofErr w:type="spellEnd"/>
      <w:r w:rsidR="007B0A2B" w:rsidRPr="007B0A2B">
        <w:rPr>
          <w:rFonts w:cs="Times-Italic"/>
        </w:rPr>
        <w:t xml:space="preserve">, Alex R. Coo and Gina </w:t>
      </w:r>
      <w:proofErr w:type="spellStart"/>
      <w:r w:rsidR="007B0A2B" w:rsidRPr="007B0A2B">
        <w:rPr>
          <w:rFonts w:cs="Times-Italic"/>
        </w:rPr>
        <w:t>Samaan</w:t>
      </w:r>
      <w:proofErr w:type="spellEnd"/>
      <w:r w:rsidR="007B0A2B" w:rsidRPr="007B0A2B">
        <w:rPr>
          <w:rFonts w:cs="Times-Italic"/>
        </w:rPr>
        <w:t xml:space="preserve">.(2013): Causes of Mortality for Indonesian Hajj Pilgrims: Comparison between Routine Death Certificate and Verbal Autopsy Findings.  </w:t>
      </w:r>
      <w:proofErr w:type="spellStart"/>
      <w:r w:rsidR="007B0A2B" w:rsidRPr="007B0A2B">
        <w:rPr>
          <w:rFonts w:cs="Times-Italic"/>
        </w:rPr>
        <w:t>PLoS</w:t>
      </w:r>
      <w:proofErr w:type="spellEnd"/>
      <w:r w:rsidR="007B0A2B" w:rsidRPr="007B0A2B">
        <w:rPr>
          <w:rFonts w:cs="Times-Italic"/>
        </w:rPr>
        <w:t xml:space="preserve"> One. 2013; 8(8): e73243.  Published online 2013 August 21. </w:t>
      </w:r>
      <w:proofErr w:type="spellStart"/>
      <w:r w:rsidR="007B0A2B" w:rsidRPr="007B0A2B">
        <w:rPr>
          <w:rFonts w:cs="Times-Italic"/>
        </w:rPr>
        <w:t>doi</w:t>
      </w:r>
      <w:proofErr w:type="spellEnd"/>
      <w:r w:rsidR="007B0A2B" w:rsidRPr="007B0A2B">
        <w:rPr>
          <w:rFonts w:cs="Times-Italic"/>
        </w:rPr>
        <w:t>:  10.1371/journal.pone.0073243     PMCID: PMC3749149</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25.</w:t>
      </w:r>
      <w:r w:rsidR="007B0A2B" w:rsidRPr="007B0A2B">
        <w:rPr>
          <w:rFonts w:cs="Times New Roman"/>
          <w:rtl/>
        </w:rPr>
        <w:tab/>
      </w:r>
      <w:proofErr w:type="spellStart"/>
      <w:r w:rsidR="007B0A2B" w:rsidRPr="007B0A2B">
        <w:rPr>
          <w:rFonts w:cs="Times-Italic"/>
        </w:rPr>
        <w:t>Meysamie</w:t>
      </w:r>
      <w:proofErr w:type="spellEnd"/>
      <w:r w:rsidR="007B0A2B" w:rsidRPr="007B0A2B">
        <w:rPr>
          <w:rFonts w:cs="Times-Italic"/>
        </w:rPr>
        <w:t xml:space="preserve"> A., </w:t>
      </w:r>
      <w:proofErr w:type="spellStart"/>
      <w:r w:rsidR="007B0A2B" w:rsidRPr="007B0A2B">
        <w:rPr>
          <w:rFonts w:cs="Times-Italic"/>
        </w:rPr>
        <w:t>Ardakani</w:t>
      </w:r>
      <w:proofErr w:type="spellEnd"/>
      <w:r w:rsidR="007B0A2B" w:rsidRPr="007B0A2B">
        <w:rPr>
          <w:rFonts w:cs="Times-Italic"/>
        </w:rPr>
        <w:t xml:space="preserve"> H.Z., </w:t>
      </w:r>
      <w:proofErr w:type="spellStart"/>
      <w:r w:rsidR="007B0A2B" w:rsidRPr="007B0A2B">
        <w:rPr>
          <w:rFonts w:cs="Times-Italic"/>
        </w:rPr>
        <w:t>Ravazi</w:t>
      </w:r>
      <w:proofErr w:type="spellEnd"/>
      <w:r w:rsidR="007B0A2B" w:rsidRPr="007B0A2B">
        <w:rPr>
          <w:rFonts w:cs="Times-Italic"/>
        </w:rPr>
        <w:t xml:space="preserve"> S.M., </w:t>
      </w:r>
      <w:proofErr w:type="spellStart"/>
      <w:r w:rsidR="007B0A2B" w:rsidRPr="007B0A2B">
        <w:rPr>
          <w:rFonts w:cs="Times-Italic"/>
        </w:rPr>
        <w:t>Doroodi</w:t>
      </w:r>
      <w:proofErr w:type="spellEnd"/>
      <w:r w:rsidR="007B0A2B" w:rsidRPr="007B0A2B">
        <w:rPr>
          <w:rFonts w:cs="Times-Italic"/>
        </w:rPr>
        <w:t xml:space="preserve"> T.(2006): Comparison of mortality and morbidity rates among Iranian pilgrims in Hajj 2004 and 2005. Saudi Med J. 27:1049–1053. [PubMed</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26.</w:t>
      </w:r>
      <w:r w:rsidR="007B0A2B" w:rsidRPr="007B0A2B">
        <w:rPr>
          <w:rFonts w:cs="Times New Roman"/>
          <w:rtl/>
        </w:rPr>
        <w:tab/>
      </w:r>
      <w:r w:rsidR="007B0A2B" w:rsidRPr="007B0A2B">
        <w:rPr>
          <w:rFonts w:cs="Times-Italic"/>
        </w:rPr>
        <w:t>Butterworth C E(1974):  The skeleton in the hospital closet. Nutrition Today 9: 4–8</w:t>
      </w:r>
    </w:p>
    <w:p w:rsidR="007B0A2B" w:rsidRPr="007B0A2B" w:rsidRDefault="00617ADA" w:rsidP="007B0A2B">
      <w:pPr>
        <w:autoSpaceDE w:val="0"/>
        <w:autoSpaceDN w:val="0"/>
        <w:bidi w:val="0"/>
        <w:adjustRightInd w:val="0"/>
        <w:spacing w:after="0" w:line="240" w:lineRule="auto"/>
        <w:rPr>
          <w:rFonts w:cs="Times-Italic"/>
        </w:rPr>
      </w:pPr>
      <w:r>
        <w:rPr>
          <w:rFonts w:cs="Times New Roman"/>
        </w:rPr>
        <w:t>27.</w:t>
      </w:r>
      <w:r w:rsidR="007B0A2B" w:rsidRPr="007B0A2B">
        <w:rPr>
          <w:rFonts w:cs="Times New Roman"/>
          <w:rtl/>
        </w:rPr>
        <w:tab/>
      </w:r>
      <w:proofErr w:type="spellStart"/>
      <w:r w:rsidR="007B0A2B" w:rsidRPr="007B0A2B">
        <w:rPr>
          <w:rFonts w:cs="Times-Italic"/>
        </w:rPr>
        <w:t>Bistrian</w:t>
      </w:r>
      <w:proofErr w:type="spellEnd"/>
      <w:r w:rsidR="007B0A2B" w:rsidRPr="007B0A2B">
        <w:rPr>
          <w:rFonts w:cs="Times-Italic"/>
        </w:rPr>
        <w:t xml:space="preserve"> B R, Blackburn G L, Vitale J, Cochran D, Naylor J.(1976): Prevalence of malnutrition in general medical patients. JAMA  235: 1567–1570</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28.</w:t>
      </w:r>
      <w:r w:rsidR="007B0A2B" w:rsidRPr="007B0A2B">
        <w:rPr>
          <w:rFonts w:cs="Times New Roman"/>
          <w:rtl/>
        </w:rPr>
        <w:tab/>
      </w:r>
      <w:proofErr w:type="spellStart"/>
      <w:r w:rsidR="007B0A2B" w:rsidRPr="007B0A2B">
        <w:rPr>
          <w:rFonts w:cs="Times-Italic"/>
        </w:rPr>
        <w:t>Weinsier</w:t>
      </w:r>
      <w:proofErr w:type="spellEnd"/>
      <w:r w:rsidR="007B0A2B" w:rsidRPr="007B0A2B">
        <w:rPr>
          <w:rFonts w:cs="Times-Italic"/>
        </w:rPr>
        <w:t xml:space="preserve"> R L, Hunker E M, </w:t>
      </w:r>
      <w:proofErr w:type="spellStart"/>
      <w:r w:rsidR="007B0A2B" w:rsidRPr="007B0A2B">
        <w:rPr>
          <w:rFonts w:cs="Times-Italic"/>
        </w:rPr>
        <w:t>Krumdieck</w:t>
      </w:r>
      <w:proofErr w:type="spellEnd"/>
      <w:r w:rsidR="007B0A2B" w:rsidRPr="007B0A2B">
        <w:rPr>
          <w:rFonts w:cs="Times-Italic"/>
        </w:rPr>
        <w:t xml:space="preserve"> D L, Butterworth D E.(1979):  Hospital malnutrition: a prospective evaluation of general medical patients during the course of hospitalization. Am J </w:t>
      </w:r>
      <w:proofErr w:type="spellStart"/>
      <w:r w:rsidR="007B0A2B" w:rsidRPr="007B0A2B">
        <w:rPr>
          <w:rFonts w:cs="Times-Italic"/>
        </w:rPr>
        <w:t>Clin</w:t>
      </w:r>
      <w:proofErr w:type="spellEnd"/>
      <w:r w:rsidR="007B0A2B" w:rsidRPr="007B0A2B">
        <w:rPr>
          <w:rFonts w:cs="Times-Italic"/>
        </w:rPr>
        <w:t xml:space="preserve"> </w:t>
      </w:r>
      <w:proofErr w:type="spellStart"/>
      <w:r w:rsidR="007B0A2B" w:rsidRPr="007B0A2B">
        <w:rPr>
          <w:rFonts w:cs="Times-Italic"/>
        </w:rPr>
        <w:t>Nutr</w:t>
      </w:r>
      <w:proofErr w:type="spellEnd"/>
      <w:r w:rsidR="007B0A2B" w:rsidRPr="007B0A2B">
        <w:rPr>
          <w:rFonts w:cs="Times-Italic"/>
        </w:rPr>
        <w:t xml:space="preserve"> 1979; 32: 418–426</w:t>
      </w:r>
    </w:p>
    <w:p w:rsidR="007B0A2B" w:rsidRPr="007B0A2B" w:rsidRDefault="00617ADA" w:rsidP="007B0A2B">
      <w:pPr>
        <w:autoSpaceDE w:val="0"/>
        <w:autoSpaceDN w:val="0"/>
        <w:bidi w:val="0"/>
        <w:adjustRightInd w:val="0"/>
        <w:spacing w:after="0" w:line="240" w:lineRule="auto"/>
        <w:rPr>
          <w:rFonts w:cs="Times-Italic"/>
        </w:rPr>
      </w:pPr>
      <w:r>
        <w:rPr>
          <w:rFonts w:cs="Times New Roman"/>
        </w:rPr>
        <w:t>29.</w:t>
      </w:r>
      <w:r w:rsidR="007B0A2B" w:rsidRPr="007B0A2B">
        <w:rPr>
          <w:rFonts w:cs="Times New Roman"/>
          <w:rtl/>
        </w:rPr>
        <w:tab/>
      </w:r>
      <w:proofErr w:type="spellStart"/>
      <w:r w:rsidR="007B0A2B" w:rsidRPr="007B0A2B">
        <w:rPr>
          <w:rFonts w:cs="Times-Italic"/>
        </w:rPr>
        <w:t>Waitzberg</w:t>
      </w:r>
      <w:proofErr w:type="spellEnd"/>
      <w:r w:rsidR="007B0A2B" w:rsidRPr="007B0A2B">
        <w:rPr>
          <w:rFonts w:cs="Times-Italic"/>
        </w:rPr>
        <w:t xml:space="preserve"> D L, </w:t>
      </w:r>
      <w:proofErr w:type="spellStart"/>
      <w:r w:rsidR="007B0A2B" w:rsidRPr="007B0A2B">
        <w:rPr>
          <w:rFonts w:cs="Times-Italic"/>
        </w:rPr>
        <w:t>Caiaffa</w:t>
      </w:r>
      <w:proofErr w:type="spellEnd"/>
      <w:r w:rsidR="007B0A2B" w:rsidRPr="007B0A2B">
        <w:rPr>
          <w:rFonts w:cs="Times-Italic"/>
        </w:rPr>
        <w:t xml:space="preserve"> W T, </w:t>
      </w:r>
      <w:proofErr w:type="spellStart"/>
      <w:r w:rsidR="007B0A2B" w:rsidRPr="007B0A2B">
        <w:rPr>
          <w:rFonts w:cs="Times-Italic"/>
        </w:rPr>
        <w:t>Correia</w:t>
      </w:r>
      <w:proofErr w:type="spellEnd"/>
      <w:r w:rsidR="007B0A2B" w:rsidRPr="007B0A2B">
        <w:rPr>
          <w:rFonts w:cs="Times-Italic"/>
        </w:rPr>
        <w:t xml:space="preserve"> M I T D. (2001): Hospital malnutrition: the Brazilian national survey (</w:t>
      </w:r>
      <w:proofErr w:type="spellStart"/>
      <w:r w:rsidR="007B0A2B" w:rsidRPr="007B0A2B">
        <w:rPr>
          <w:rFonts w:cs="Times-Italic"/>
        </w:rPr>
        <w:t>Ibranutri</w:t>
      </w:r>
      <w:proofErr w:type="spellEnd"/>
      <w:r w:rsidR="007B0A2B" w:rsidRPr="007B0A2B">
        <w:rPr>
          <w:rFonts w:cs="Times-Italic"/>
        </w:rPr>
        <w:t>): a study of 4000 patients. Nutrition 17: 575–580</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30.</w:t>
      </w:r>
      <w:r w:rsidR="007B0A2B" w:rsidRPr="007B0A2B">
        <w:rPr>
          <w:rFonts w:cs="Times New Roman"/>
          <w:rtl/>
        </w:rPr>
        <w:tab/>
      </w:r>
      <w:proofErr w:type="spellStart"/>
      <w:r w:rsidR="007B0A2B" w:rsidRPr="007B0A2B">
        <w:rPr>
          <w:rFonts w:cs="Times-Italic"/>
        </w:rPr>
        <w:t>McWhirter</w:t>
      </w:r>
      <w:proofErr w:type="spellEnd"/>
      <w:r w:rsidR="007B0A2B" w:rsidRPr="007B0A2B">
        <w:rPr>
          <w:rFonts w:cs="Times-Italic"/>
        </w:rPr>
        <w:t xml:space="preserve"> J P, Pennington C R.(1994): Incidence and recognition of malnutrition in hospital. BMJ 1994; 308: 945–948</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31.</w:t>
      </w:r>
      <w:r w:rsidR="007B0A2B" w:rsidRPr="007B0A2B">
        <w:rPr>
          <w:rFonts w:cs="Times New Roman"/>
          <w:rtl/>
        </w:rPr>
        <w:tab/>
      </w:r>
      <w:proofErr w:type="spellStart"/>
      <w:r w:rsidR="007B0A2B" w:rsidRPr="007B0A2B">
        <w:rPr>
          <w:rFonts w:cs="Times-Italic"/>
        </w:rPr>
        <w:t>Albiin</w:t>
      </w:r>
      <w:proofErr w:type="spellEnd"/>
      <w:r w:rsidR="007B0A2B" w:rsidRPr="007B0A2B">
        <w:rPr>
          <w:rFonts w:cs="Times-Italic"/>
        </w:rPr>
        <w:t xml:space="preserve">, N., </w:t>
      </w:r>
      <w:proofErr w:type="spellStart"/>
      <w:r w:rsidR="007B0A2B" w:rsidRPr="007B0A2B">
        <w:rPr>
          <w:rFonts w:cs="Times-Italic"/>
        </w:rPr>
        <w:t>Asplund</w:t>
      </w:r>
      <w:proofErr w:type="spellEnd"/>
      <w:r w:rsidR="007B0A2B" w:rsidRPr="007B0A2B">
        <w:rPr>
          <w:rFonts w:cs="Times-Italic"/>
        </w:rPr>
        <w:t xml:space="preserve">, K. and </w:t>
      </w:r>
      <w:proofErr w:type="spellStart"/>
      <w:r w:rsidR="007B0A2B" w:rsidRPr="007B0A2B">
        <w:rPr>
          <w:rFonts w:cs="Times-Italic"/>
        </w:rPr>
        <w:t>Bjermer</w:t>
      </w:r>
      <w:proofErr w:type="spellEnd"/>
      <w:r w:rsidR="007B0A2B" w:rsidRPr="007B0A2B">
        <w:rPr>
          <w:rFonts w:cs="Times-Italic"/>
        </w:rPr>
        <w:t xml:space="preserve">, L. (1982), Nutritional Status of Medical Patients on Emergency Admission to Hospital. </w:t>
      </w:r>
      <w:proofErr w:type="spellStart"/>
      <w:r w:rsidR="007B0A2B" w:rsidRPr="007B0A2B">
        <w:rPr>
          <w:rFonts w:cs="Times-Italic"/>
        </w:rPr>
        <w:t>Acta</w:t>
      </w:r>
      <w:proofErr w:type="spellEnd"/>
      <w:r w:rsidR="007B0A2B" w:rsidRPr="007B0A2B">
        <w:rPr>
          <w:rFonts w:cs="Times-Italic"/>
        </w:rPr>
        <w:t xml:space="preserve"> </w:t>
      </w:r>
      <w:proofErr w:type="spellStart"/>
      <w:r w:rsidR="007B0A2B" w:rsidRPr="007B0A2B">
        <w:rPr>
          <w:rFonts w:cs="Times-Italic"/>
        </w:rPr>
        <w:t>Medica</w:t>
      </w:r>
      <w:proofErr w:type="spellEnd"/>
      <w:r w:rsidR="007B0A2B" w:rsidRPr="007B0A2B">
        <w:rPr>
          <w:rFonts w:cs="Times-Italic"/>
        </w:rPr>
        <w:t xml:space="preserve"> </w:t>
      </w:r>
      <w:proofErr w:type="spellStart"/>
      <w:r w:rsidR="007B0A2B" w:rsidRPr="007B0A2B">
        <w:rPr>
          <w:rFonts w:cs="Times-Italic"/>
        </w:rPr>
        <w:t>Scandinavica</w:t>
      </w:r>
      <w:proofErr w:type="spellEnd"/>
      <w:r w:rsidR="007B0A2B" w:rsidRPr="007B0A2B">
        <w:rPr>
          <w:rFonts w:cs="Times-Italic"/>
        </w:rPr>
        <w:t xml:space="preserve">, 212: 151–156. </w:t>
      </w:r>
      <w:proofErr w:type="spellStart"/>
      <w:r w:rsidR="007B0A2B" w:rsidRPr="007B0A2B">
        <w:rPr>
          <w:rFonts w:cs="Times-Italic"/>
        </w:rPr>
        <w:t>doi</w:t>
      </w:r>
      <w:proofErr w:type="spellEnd"/>
      <w:r w:rsidR="007B0A2B" w:rsidRPr="007B0A2B">
        <w:rPr>
          <w:rFonts w:cs="Times-Italic"/>
        </w:rPr>
        <w:t>: 10.1111/j.0954-6820.1982.tb03188.x</w:t>
      </w:r>
    </w:p>
    <w:p w:rsidR="007B0A2B" w:rsidRPr="007B0A2B" w:rsidRDefault="00617ADA" w:rsidP="007B0A2B">
      <w:pPr>
        <w:autoSpaceDE w:val="0"/>
        <w:autoSpaceDN w:val="0"/>
        <w:bidi w:val="0"/>
        <w:adjustRightInd w:val="0"/>
        <w:spacing w:after="0" w:line="240" w:lineRule="auto"/>
        <w:rPr>
          <w:rFonts w:cs="Times-Italic"/>
        </w:rPr>
      </w:pPr>
      <w:r>
        <w:rPr>
          <w:rFonts w:cs="Times New Roman"/>
        </w:rPr>
        <w:t>32.</w:t>
      </w:r>
      <w:r w:rsidR="007B0A2B" w:rsidRPr="007B0A2B">
        <w:rPr>
          <w:rFonts w:cs="Times New Roman"/>
          <w:rtl/>
        </w:rPr>
        <w:tab/>
      </w:r>
      <w:proofErr w:type="spellStart"/>
      <w:r w:rsidR="007B0A2B" w:rsidRPr="007B0A2B">
        <w:rPr>
          <w:rFonts w:cs="Times-Italic"/>
        </w:rPr>
        <w:t>Dzieniszewski</w:t>
      </w:r>
      <w:proofErr w:type="spellEnd"/>
      <w:r w:rsidR="007B0A2B" w:rsidRPr="007B0A2B">
        <w:rPr>
          <w:rFonts w:cs="Times-Italic"/>
        </w:rPr>
        <w:t xml:space="preserve"> J, </w:t>
      </w:r>
      <w:proofErr w:type="spellStart"/>
      <w:r w:rsidR="007B0A2B" w:rsidRPr="007B0A2B">
        <w:rPr>
          <w:rFonts w:cs="Times-Italic"/>
        </w:rPr>
        <w:t>Jarosz</w:t>
      </w:r>
      <w:proofErr w:type="spellEnd"/>
      <w:r w:rsidR="007B0A2B" w:rsidRPr="007B0A2B">
        <w:rPr>
          <w:rFonts w:cs="Times-Italic"/>
        </w:rPr>
        <w:t xml:space="preserve"> M, </w:t>
      </w:r>
      <w:proofErr w:type="spellStart"/>
      <w:r w:rsidR="007B0A2B" w:rsidRPr="007B0A2B">
        <w:rPr>
          <w:rFonts w:cs="Times-Italic"/>
        </w:rPr>
        <w:t>Szczygieł</w:t>
      </w:r>
      <w:proofErr w:type="spellEnd"/>
      <w:r w:rsidR="007B0A2B" w:rsidRPr="007B0A2B">
        <w:rPr>
          <w:rFonts w:cs="Times-Italic"/>
        </w:rPr>
        <w:t xml:space="preserve"> B, </w:t>
      </w:r>
      <w:proofErr w:type="spellStart"/>
      <w:r w:rsidR="007B0A2B" w:rsidRPr="007B0A2B">
        <w:rPr>
          <w:rFonts w:cs="Times-Italic"/>
        </w:rPr>
        <w:t>Długosz</w:t>
      </w:r>
      <w:proofErr w:type="spellEnd"/>
      <w:r w:rsidR="007B0A2B" w:rsidRPr="007B0A2B">
        <w:rPr>
          <w:rFonts w:cs="Times-Italic"/>
        </w:rPr>
        <w:t xml:space="preserve"> J, </w:t>
      </w:r>
      <w:proofErr w:type="spellStart"/>
      <w:r w:rsidR="007B0A2B" w:rsidRPr="007B0A2B">
        <w:rPr>
          <w:rFonts w:cs="Times-Italic"/>
        </w:rPr>
        <w:t>Marlicz</w:t>
      </w:r>
      <w:proofErr w:type="spellEnd"/>
      <w:r w:rsidR="007B0A2B" w:rsidRPr="007B0A2B">
        <w:rPr>
          <w:rFonts w:cs="Times-Italic"/>
        </w:rPr>
        <w:t xml:space="preserve"> K, </w:t>
      </w:r>
      <w:proofErr w:type="spellStart"/>
      <w:r w:rsidR="007B0A2B" w:rsidRPr="007B0A2B">
        <w:rPr>
          <w:rFonts w:cs="Times-Italic"/>
        </w:rPr>
        <w:t>Linke</w:t>
      </w:r>
      <w:proofErr w:type="spellEnd"/>
      <w:r w:rsidR="007B0A2B" w:rsidRPr="007B0A2B">
        <w:rPr>
          <w:rFonts w:cs="Times-Italic"/>
        </w:rPr>
        <w:t xml:space="preserve"> K, </w:t>
      </w:r>
      <w:proofErr w:type="spellStart"/>
      <w:r w:rsidR="007B0A2B" w:rsidRPr="007B0A2B">
        <w:rPr>
          <w:rFonts w:cs="Times-Italic"/>
        </w:rPr>
        <w:t>Lachowicz</w:t>
      </w:r>
      <w:proofErr w:type="spellEnd"/>
      <w:r w:rsidR="007B0A2B" w:rsidRPr="007B0A2B">
        <w:rPr>
          <w:rFonts w:cs="Times-Italic"/>
        </w:rPr>
        <w:t xml:space="preserve"> A, </w:t>
      </w:r>
      <w:proofErr w:type="spellStart"/>
      <w:r w:rsidR="007B0A2B" w:rsidRPr="007B0A2B">
        <w:rPr>
          <w:rFonts w:cs="Times-Italic"/>
        </w:rPr>
        <w:t>Ryzko-Skiba</w:t>
      </w:r>
      <w:proofErr w:type="spellEnd"/>
      <w:r w:rsidR="007B0A2B" w:rsidRPr="007B0A2B">
        <w:rPr>
          <w:rFonts w:cs="Times-Italic"/>
        </w:rPr>
        <w:t xml:space="preserve"> M, </w:t>
      </w:r>
      <w:proofErr w:type="spellStart"/>
      <w:r w:rsidR="007B0A2B" w:rsidRPr="007B0A2B">
        <w:rPr>
          <w:rFonts w:cs="Times-Italic"/>
        </w:rPr>
        <w:t>Orzeszko</w:t>
      </w:r>
      <w:proofErr w:type="spellEnd"/>
      <w:r w:rsidR="007B0A2B" w:rsidRPr="007B0A2B">
        <w:rPr>
          <w:rFonts w:cs="Times-Italic"/>
        </w:rPr>
        <w:t xml:space="preserve"> M . (2005): Nutritional status of patients </w:t>
      </w:r>
      <w:proofErr w:type="spellStart"/>
      <w:r w:rsidR="007B0A2B" w:rsidRPr="007B0A2B">
        <w:rPr>
          <w:rFonts w:cs="Times-Italic"/>
        </w:rPr>
        <w:t>hospitalised</w:t>
      </w:r>
      <w:proofErr w:type="spellEnd"/>
      <w:r w:rsidR="007B0A2B" w:rsidRPr="007B0A2B">
        <w:rPr>
          <w:rFonts w:cs="Times-Italic"/>
        </w:rPr>
        <w:t xml:space="preserve"> in Poland. </w:t>
      </w:r>
      <w:proofErr w:type="spellStart"/>
      <w:r w:rsidR="007B0A2B" w:rsidRPr="007B0A2B">
        <w:rPr>
          <w:rFonts w:cs="Times-Italic"/>
        </w:rPr>
        <w:t>Eur</w:t>
      </w:r>
      <w:proofErr w:type="spellEnd"/>
      <w:r w:rsidR="007B0A2B" w:rsidRPr="007B0A2B">
        <w:rPr>
          <w:rFonts w:cs="Times-Italic"/>
        </w:rPr>
        <w:t xml:space="preserve"> J </w:t>
      </w:r>
      <w:proofErr w:type="spellStart"/>
      <w:r w:rsidR="007B0A2B" w:rsidRPr="007B0A2B">
        <w:rPr>
          <w:rFonts w:cs="Times-Italic"/>
        </w:rPr>
        <w:t>Clin</w:t>
      </w:r>
      <w:proofErr w:type="spellEnd"/>
      <w:r w:rsidR="007B0A2B" w:rsidRPr="007B0A2B">
        <w:rPr>
          <w:rFonts w:cs="Times-Italic"/>
        </w:rPr>
        <w:t xml:space="preserve"> </w:t>
      </w:r>
      <w:proofErr w:type="spellStart"/>
      <w:r w:rsidR="007B0A2B" w:rsidRPr="007B0A2B">
        <w:rPr>
          <w:rFonts w:cs="Times-Italic"/>
        </w:rPr>
        <w:t>Nutr</w:t>
      </w:r>
      <w:proofErr w:type="spellEnd"/>
      <w:r w:rsidR="007B0A2B" w:rsidRPr="007B0A2B">
        <w:rPr>
          <w:rFonts w:cs="Times-Italic"/>
        </w:rPr>
        <w:t>. 59(4):552-60</w:t>
      </w:r>
    </w:p>
    <w:p w:rsidR="007B0A2B" w:rsidRPr="007B0A2B" w:rsidRDefault="00617ADA" w:rsidP="007B0A2B">
      <w:pPr>
        <w:autoSpaceDE w:val="0"/>
        <w:autoSpaceDN w:val="0"/>
        <w:bidi w:val="0"/>
        <w:adjustRightInd w:val="0"/>
        <w:spacing w:after="0" w:line="240" w:lineRule="auto"/>
        <w:rPr>
          <w:rFonts w:cs="Times-Italic"/>
        </w:rPr>
      </w:pPr>
      <w:r>
        <w:rPr>
          <w:rFonts w:cs="Times New Roman"/>
        </w:rPr>
        <w:t>33.</w:t>
      </w:r>
      <w:r w:rsidR="007B0A2B" w:rsidRPr="007B0A2B">
        <w:rPr>
          <w:rFonts w:cs="Times New Roman"/>
          <w:rtl/>
        </w:rPr>
        <w:tab/>
      </w:r>
      <w:proofErr w:type="spellStart"/>
      <w:r w:rsidR="007B0A2B" w:rsidRPr="007B0A2B">
        <w:rPr>
          <w:rFonts w:cs="Times-Italic"/>
        </w:rPr>
        <w:t>Vlaming</w:t>
      </w:r>
      <w:proofErr w:type="spellEnd"/>
      <w:r w:rsidR="007B0A2B" w:rsidRPr="007B0A2B">
        <w:rPr>
          <w:rFonts w:cs="Times-Italic"/>
        </w:rPr>
        <w:t xml:space="preserve"> S, </w:t>
      </w:r>
      <w:proofErr w:type="spellStart"/>
      <w:r w:rsidR="007B0A2B" w:rsidRPr="007B0A2B">
        <w:rPr>
          <w:rFonts w:cs="Times-Italic"/>
        </w:rPr>
        <w:t>Biehler</w:t>
      </w:r>
      <w:proofErr w:type="spellEnd"/>
      <w:r w:rsidR="007B0A2B" w:rsidRPr="007B0A2B">
        <w:rPr>
          <w:rFonts w:cs="Times-Italic"/>
        </w:rPr>
        <w:t xml:space="preserve"> A, Hennessey EM, Jamieson CP, </w:t>
      </w:r>
      <w:proofErr w:type="spellStart"/>
      <w:r w:rsidR="007B0A2B" w:rsidRPr="007B0A2B">
        <w:rPr>
          <w:rFonts w:cs="Times-Italic"/>
        </w:rPr>
        <w:t>Chattophadhyay</w:t>
      </w:r>
      <w:proofErr w:type="spellEnd"/>
      <w:r w:rsidR="007B0A2B" w:rsidRPr="007B0A2B">
        <w:rPr>
          <w:rFonts w:cs="Times-Italic"/>
        </w:rPr>
        <w:t xml:space="preserve"> S, Obeid OA et al. (2001): Should the food intake of patients admitted to acute hospital services be routinely supplemented? A randomized placebo controlled trial. </w:t>
      </w:r>
      <w:proofErr w:type="spellStart"/>
      <w:r w:rsidR="007B0A2B" w:rsidRPr="007B0A2B">
        <w:rPr>
          <w:rFonts w:cs="Times-Italic"/>
        </w:rPr>
        <w:t>Clin</w:t>
      </w:r>
      <w:proofErr w:type="spellEnd"/>
      <w:r w:rsidR="007B0A2B" w:rsidRPr="007B0A2B">
        <w:rPr>
          <w:rFonts w:cs="Times-Italic"/>
        </w:rPr>
        <w:t xml:space="preserve"> </w:t>
      </w:r>
      <w:proofErr w:type="spellStart"/>
      <w:r w:rsidR="007B0A2B" w:rsidRPr="007B0A2B">
        <w:rPr>
          <w:rFonts w:cs="Times-Italic"/>
        </w:rPr>
        <w:t>Nutr</w:t>
      </w:r>
      <w:proofErr w:type="spellEnd"/>
      <w:r w:rsidR="007B0A2B" w:rsidRPr="007B0A2B">
        <w:rPr>
          <w:rFonts w:cs="Times-Italic"/>
        </w:rPr>
        <w:t xml:space="preserve"> 2001; 20(6):517-526</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34.</w:t>
      </w:r>
      <w:r w:rsidR="007B0A2B" w:rsidRPr="007B0A2B">
        <w:rPr>
          <w:rFonts w:cs="Times New Roman"/>
          <w:rtl/>
        </w:rPr>
        <w:tab/>
      </w:r>
      <w:proofErr w:type="spellStart"/>
      <w:r w:rsidR="007B0A2B" w:rsidRPr="007B0A2B">
        <w:rPr>
          <w:rFonts w:cs="Times-Italic"/>
        </w:rPr>
        <w:t>Kruizenga</w:t>
      </w:r>
      <w:proofErr w:type="spellEnd"/>
      <w:r w:rsidR="007B0A2B" w:rsidRPr="007B0A2B">
        <w:rPr>
          <w:rFonts w:cs="Times-Italic"/>
        </w:rPr>
        <w:t xml:space="preserve">, H M, </w:t>
      </w:r>
      <w:proofErr w:type="spellStart"/>
      <w:r w:rsidR="007B0A2B" w:rsidRPr="007B0A2B">
        <w:rPr>
          <w:rFonts w:cs="Times-Italic"/>
        </w:rPr>
        <w:t>Wierdsma</w:t>
      </w:r>
      <w:proofErr w:type="spellEnd"/>
      <w:r w:rsidR="007B0A2B" w:rsidRPr="007B0A2B">
        <w:rPr>
          <w:rFonts w:cs="Times-Italic"/>
        </w:rPr>
        <w:t xml:space="preserve">, N J, </w:t>
      </w:r>
      <w:proofErr w:type="spellStart"/>
      <w:r w:rsidR="007B0A2B" w:rsidRPr="007B0A2B">
        <w:rPr>
          <w:rFonts w:cs="Times-Italic"/>
        </w:rPr>
        <w:t>Vanbokhorst</w:t>
      </w:r>
      <w:proofErr w:type="spellEnd"/>
      <w:r w:rsidR="007B0A2B" w:rsidRPr="007B0A2B">
        <w:rPr>
          <w:rFonts w:cs="Times-Italic"/>
        </w:rPr>
        <w:t xml:space="preserve">, M A E,  DE Vander </w:t>
      </w:r>
      <w:proofErr w:type="spellStart"/>
      <w:r w:rsidR="007B0A2B" w:rsidRPr="007B0A2B">
        <w:rPr>
          <w:rFonts w:cs="Times-Italic"/>
        </w:rPr>
        <w:t>Schueren</w:t>
      </w:r>
      <w:proofErr w:type="spellEnd"/>
      <w:r w:rsidR="007B0A2B" w:rsidRPr="007B0A2B">
        <w:rPr>
          <w:rFonts w:cs="Times-Italic"/>
        </w:rPr>
        <w:t xml:space="preserve">,  Hollander, H J, </w:t>
      </w:r>
      <w:proofErr w:type="spellStart"/>
      <w:r w:rsidR="007B0A2B" w:rsidRPr="007B0A2B">
        <w:rPr>
          <w:rFonts w:cs="Times-Italic"/>
        </w:rPr>
        <w:t>Jonkers-Schuitema,W</w:t>
      </w:r>
      <w:proofErr w:type="spellEnd"/>
      <w:r w:rsidR="007B0A2B" w:rsidRPr="007B0A2B">
        <w:rPr>
          <w:rFonts w:cs="Times-Italic"/>
        </w:rPr>
        <w:t xml:space="preserve"> C F, </w:t>
      </w:r>
      <w:proofErr w:type="spellStart"/>
      <w:r w:rsidR="007B0A2B" w:rsidRPr="007B0A2B">
        <w:rPr>
          <w:rFonts w:cs="Times-Italic"/>
        </w:rPr>
        <w:t>Vanderheijden</w:t>
      </w:r>
      <w:proofErr w:type="spellEnd"/>
      <w:r w:rsidR="007B0A2B" w:rsidRPr="007B0A2B">
        <w:rPr>
          <w:rFonts w:cs="Times-Italic"/>
        </w:rPr>
        <w:t xml:space="preserve">, Z E ,  </w:t>
      </w:r>
      <w:proofErr w:type="spellStart"/>
      <w:r w:rsidR="007B0A2B" w:rsidRPr="007B0A2B">
        <w:rPr>
          <w:rFonts w:cs="Times-Italic"/>
        </w:rPr>
        <w:t>Melis</w:t>
      </w:r>
      <w:proofErr w:type="spellEnd"/>
      <w:r w:rsidR="007B0A2B" w:rsidRPr="007B0A2B">
        <w:rPr>
          <w:rFonts w:cs="Times-Italic"/>
        </w:rPr>
        <w:t xml:space="preserve">, G C, </w:t>
      </w:r>
      <w:proofErr w:type="spellStart"/>
      <w:r w:rsidR="007B0A2B" w:rsidRPr="007B0A2B">
        <w:rPr>
          <w:rFonts w:cs="Times-Italic"/>
        </w:rPr>
        <w:t>Vanstaverenz</w:t>
      </w:r>
      <w:proofErr w:type="spellEnd"/>
      <w:r w:rsidR="007B0A2B" w:rsidRPr="007B0A2B">
        <w:rPr>
          <w:rFonts w:cs="Times-Italic"/>
        </w:rPr>
        <w:t>, W A.  (2003):  Different methods of nutritional assessment in severe patients underwent to invasive mechanical ventilation. Clinical Nutrition  22(2): 147–152</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35.</w:t>
      </w:r>
      <w:r w:rsidR="007B0A2B" w:rsidRPr="007B0A2B">
        <w:rPr>
          <w:rFonts w:cs="Times New Roman"/>
          <w:rtl/>
        </w:rPr>
        <w:tab/>
      </w:r>
      <w:r w:rsidR="007B0A2B" w:rsidRPr="007B0A2B">
        <w:rPr>
          <w:rFonts w:cs="Times-Italic"/>
        </w:rPr>
        <w:t xml:space="preserve">Leandro-Merhi V A and Braga de Aquino J L. (2010):  Nutritional status and length of hospital stay for surgical patients </w:t>
      </w:r>
      <w:proofErr w:type="spellStart"/>
      <w:r w:rsidR="007B0A2B" w:rsidRPr="007B0A2B">
        <w:rPr>
          <w:rFonts w:cs="Times-Italic"/>
        </w:rPr>
        <w:t>Nutr</w:t>
      </w:r>
      <w:proofErr w:type="spellEnd"/>
      <w:r w:rsidR="007B0A2B" w:rsidRPr="007B0A2B">
        <w:rPr>
          <w:rFonts w:cs="Times-Italic"/>
        </w:rPr>
        <w:t xml:space="preserve"> Hosp. 25(3):468-470</w:t>
      </w:r>
    </w:p>
    <w:p w:rsidR="007B0A2B" w:rsidRPr="007B0A2B" w:rsidRDefault="00617ADA" w:rsidP="007B0A2B">
      <w:pPr>
        <w:autoSpaceDE w:val="0"/>
        <w:autoSpaceDN w:val="0"/>
        <w:bidi w:val="0"/>
        <w:adjustRightInd w:val="0"/>
        <w:spacing w:after="0" w:line="240" w:lineRule="auto"/>
        <w:rPr>
          <w:rFonts w:cs="Times-Italic"/>
        </w:rPr>
      </w:pPr>
      <w:r>
        <w:rPr>
          <w:rFonts w:cs="Times New Roman"/>
        </w:rPr>
        <w:t>36.</w:t>
      </w:r>
      <w:r w:rsidR="007B0A2B" w:rsidRPr="007B0A2B">
        <w:rPr>
          <w:rFonts w:cs="Times New Roman"/>
          <w:rtl/>
        </w:rPr>
        <w:tab/>
      </w:r>
      <w:r w:rsidR="007B0A2B" w:rsidRPr="007B0A2B">
        <w:rPr>
          <w:rFonts w:cs="Times-Italic"/>
        </w:rPr>
        <w:t xml:space="preserve">Chima C S, Barco K, Dewitt M L, Maeda M,  </w:t>
      </w:r>
      <w:proofErr w:type="spellStart"/>
      <w:r w:rsidR="007B0A2B" w:rsidRPr="007B0A2B">
        <w:rPr>
          <w:rFonts w:cs="Times-Italic"/>
        </w:rPr>
        <w:t>Teran</w:t>
      </w:r>
      <w:proofErr w:type="spellEnd"/>
      <w:r w:rsidR="007B0A2B" w:rsidRPr="007B0A2B">
        <w:rPr>
          <w:rFonts w:cs="Times-Italic"/>
        </w:rPr>
        <w:t xml:space="preserve"> JC, Mullen KD. (1997): Relationship of nutritional status to length of stay, hospital costs and discharge status of patients hospitalized in the medicine service. Journal of the American Dietetic Association sept 1997, 97(9):975–978</w:t>
      </w:r>
      <w:r w:rsidR="007B0A2B" w:rsidRPr="007B0A2B">
        <w:rPr>
          <w:rFonts w:cs="Times New Roman"/>
          <w:rtl/>
        </w:rPr>
        <w:t xml:space="preserve">. </w:t>
      </w:r>
    </w:p>
    <w:p w:rsidR="00617ADA" w:rsidRDefault="00617ADA" w:rsidP="00617ADA">
      <w:pPr>
        <w:autoSpaceDE w:val="0"/>
        <w:autoSpaceDN w:val="0"/>
        <w:bidi w:val="0"/>
        <w:adjustRightInd w:val="0"/>
        <w:spacing w:after="0" w:line="240" w:lineRule="auto"/>
        <w:rPr>
          <w:rtl/>
        </w:rPr>
      </w:pPr>
      <w:r>
        <w:rPr>
          <w:rFonts w:cs="Times New Roman"/>
        </w:rPr>
        <w:lastRenderedPageBreak/>
        <w:t>37.</w:t>
      </w:r>
      <w:r w:rsidR="007B0A2B" w:rsidRPr="007B0A2B">
        <w:rPr>
          <w:rFonts w:cs="Times New Roman"/>
          <w:rtl/>
        </w:rPr>
        <w:tab/>
      </w:r>
      <w:r w:rsidR="007B0A2B" w:rsidRPr="007B0A2B">
        <w:rPr>
          <w:rFonts w:cs="Times-Italic"/>
        </w:rPr>
        <w:t xml:space="preserve">Isabel M, </w:t>
      </w:r>
      <w:proofErr w:type="spellStart"/>
      <w:r w:rsidR="007B0A2B" w:rsidRPr="007B0A2B">
        <w:rPr>
          <w:rFonts w:cs="Times-Italic"/>
        </w:rPr>
        <w:t>Correia</w:t>
      </w:r>
      <w:proofErr w:type="spellEnd"/>
      <w:r w:rsidR="007B0A2B" w:rsidRPr="007B0A2B">
        <w:rPr>
          <w:rFonts w:cs="Times-Italic"/>
        </w:rPr>
        <w:t xml:space="preserve"> T D, Dan L </w:t>
      </w:r>
      <w:proofErr w:type="spellStart"/>
      <w:r w:rsidR="007B0A2B" w:rsidRPr="007B0A2B">
        <w:rPr>
          <w:rFonts w:cs="Times-Italic"/>
        </w:rPr>
        <w:t>Waitzbergy</w:t>
      </w:r>
      <w:proofErr w:type="spellEnd"/>
      <w:r w:rsidR="007B0A2B" w:rsidRPr="007B0A2B">
        <w:rPr>
          <w:rFonts w:cs="Times-Italic"/>
        </w:rPr>
        <w:t xml:space="preserve"> (2003): The impact of malnutrition on morbidity, mortality, length of hospital stay and costs evaluated through a multivariate model analysis. Clinical Nutrition  22(3): 235–239</w:t>
      </w:r>
      <w:r w:rsidR="007B0A2B" w:rsidRPr="007B0A2B">
        <w:rPr>
          <w:rFonts w:cs="Times New Roman"/>
          <w:rtl/>
        </w:rPr>
        <w:t>.</w:t>
      </w:r>
    </w:p>
    <w:p w:rsidR="007B0A2B" w:rsidRPr="007B0A2B" w:rsidRDefault="00617ADA" w:rsidP="00617ADA">
      <w:pPr>
        <w:autoSpaceDE w:val="0"/>
        <w:autoSpaceDN w:val="0"/>
        <w:bidi w:val="0"/>
        <w:adjustRightInd w:val="0"/>
        <w:spacing w:after="0" w:line="240" w:lineRule="auto"/>
        <w:rPr>
          <w:rFonts w:cs="Times-Italic"/>
        </w:rPr>
      </w:pPr>
      <w:r>
        <w:rPr>
          <w:rFonts w:cs="Times New Roman"/>
        </w:rPr>
        <w:t>38.</w:t>
      </w:r>
      <w:r w:rsidR="007B0A2B" w:rsidRPr="007B0A2B">
        <w:rPr>
          <w:rFonts w:cs="Times New Roman"/>
          <w:rtl/>
        </w:rPr>
        <w:tab/>
      </w:r>
      <w:r w:rsidR="007B0A2B" w:rsidRPr="007B0A2B">
        <w:rPr>
          <w:rFonts w:cs="Times-Italic"/>
        </w:rPr>
        <w:t xml:space="preserve">Kyle UG, </w:t>
      </w:r>
      <w:proofErr w:type="spellStart"/>
      <w:r w:rsidR="007B0A2B" w:rsidRPr="007B0A2B">
        <w:rPr>
          <w:rFonts w:cs="Times-Italic"/>
        </w:rPr>
        <w:t>Genton</w:t>
      </w:r>
      <w:proofErr w:type="spellEnd"/>
      <w:r w:rsidR="007B0A2B" w:rsidRPr="007B0A2B">
        <w:rPr>
          <w:rFonts w:cs="Times-Italic"/>
        </w:rPr>
        <w:t xml:space="preserve"> L, </w:t>
      </w:r>
      <w:proofErr w:type="spellStart"/>
      <w:r w:rsidR="007B0A2B" w:rsidRPr="007B0A2B">
        <w:rPr>
          <w:rFonts w:cs="Times-Italic"/>
        </w:rPr>
        <w:t>Pichard</w:t>
      </w:r>
      <w:proofErr w:type="spellEnd"/>
      <w:r w:rsidR="007B0A2B" w:rsidRPr="007B0A2B">
        <w:rPr>
          <w:rFonts w:cs="Times-Italic"/>
        </w:rPr>
        <w:t xml:space="preserve"> C. 2005: Hospital length of stay and nutritional status.(2005): </w:t>
      </w:r>
      <w:proofErr w:type="spellStart"/>
      <w:r w:rsidR="007B0A2B" w:rsidRPr="007B0A2B">
        <w:rPr>
          <w:rFonts w:cs="Times-Italic"/>
        </w:rPr>
        <w:t>Curr</w:t>
      </w:r>
      <w:proofErr w:type="spellEnd"/>
      <w:r w:rsidR="007B0A2B" w:rsidRPr="007B0A2B">
        <w:rPr>
          <w:rFonts w:cs="Times-Italic"/>
        </w:rPr>
        <w:t xml:space="preserve"> </w:t>
      </w:r>
      <w:proofErr w:type="spellStart"/>
      <w:r w:rsidR="007B0A2B" w:rsidRPr="007B0A2B">
        <w:rPr>
          <w:rFonts w:cs="Times-Italic"/>
        </w:rPr>
        <w:t>Opin</w:t>
      </w:r>
      <w:proofErr w:type="spellEnd"/>
      <w:r w:rsidR="007B0A2B" w:rsidRPr="007B0A2B">
        <w:rPr>
          <w:rFonts w:cs="Times-Italic"/>
        </w:rPr>
        <w:t xml:space="preserve"> </w:t>
      </w:r>
      <w:proofErr w:type="spellStart"/>
      <w:r w:rsidR="007B0A2B" w:rsidRPr="007B0A2B">
        <w:rPr>
          <w:rFonts w:cs="Times-Italic"/>
        </w:rPr>
        <w:t>Clin</w:t>
      </w:r>
      <w:proofErr w:type="spellEnd"/>
      <w:r w:rsidR="007B0A2B" w:rsidRPr="007B0A2B">
        <w:rPr>
          <w:rFonts w:cs="Times-Italic"/>
        </w:rPr>
        <w:t xml:space="preserve"> </w:t>
      </w:r>
      <w:proofErr w:type="spellStart"/>
      <w:r w:rsidR="007B0A2B" w:rsidRPr="007B0A2B">
        <w:rPr>
          <w:rFonts w:cs="Times-Italic"/>
        </w:rPr>
        <w:t>Nutr</w:t>
      </w:r>
      <w:proofErr w:type="spellEnd"/>
      <w:r w:rsidR="007B0A2B" w:rsidRPr="007B0A2B">
        <w:rPr>
          <w:rFonts w:cs="Times-Italic"/>
        </w:rPr>
        <w:t xml:space="preserve"> </w:t>
      </w:r>
      <w:proofErr w:type="spellStart"/>
      <w:r w:rsidR="007B0A2B" w:rsidRPr="007B0A2B">
        <w:rPr>
          <w:rFonts w:cs="Times-Italic"/>
        </w:rPr>
        <w:t>Metab</w:t>
      </w:r>
      <w:proofErr w:type="spellEnd"/>
      <w:r w:rsidR="007B0A2B" w:rsidRPr="007B0A2B">
        <w:rPr>
          <w:rFonts w:cs="Times-Italic"/>
        </w:rPr>
        <w:t xml:space="preserve"> Care.  8(4):397-402</w:t>
      </w:r>
      <w:r w:rsidR="007B0A2B" w:rsidRPr="007B0A2B">
        <w:rPr>
          <w:rFonts w:cs="Times New Roman"/>
          <w:rtl/>
        </w:rPr>
        <w:t>.</w:t>
      </w:r>
    </w:p>
    <w:p w:rsidR="007B0A2B" w:rsidRPr="007B0A2B" w:rsidRDefault="00617ADA" w:rsidP="007B0A2B">
      <w:pPr>
        <w:autoSpaceDE w:val="0"/>
        <w:autoSpaceDN w:val="0"/>
        <w:bidi w:val="0"/>
        <w:adjustRightInd w:val="0"/>
        <w:spacing w:after="0" w:line="240" w:lineRule="auto"/>
        <w:rPr>
          <w:rFonts w:cs="Times-Italic"/>
        </w:rPr>
      </w:pPr>
      <w:r>
        <w:rPr>
          <w:rFonts w:cs="Times New Roman"/>
        </w:rPr>
        <w:t>39.</w:t>
      </w:r>
      <w:r w:rsidR="007B0A2B" w:rsidRPr="007B0A2B">
        <w:rPr>
          <w:rFonts w:cs="Times New Roman"/>
          <w:rtl/>
        </w:rPr>
        <w:tab/>
      </w:r>
      <w:r w:rsidR="007B0A2B" w:rsidRPr="007B0A2B">
        <w:rPr>
          <w:rFonts w:cs="Times-Italic"/>
        </w:rPr>
        <w:t xml:space="preserve">Leandro-Merhi VA, de Aquino JL, Sales </w:t>
      </w:r>
      <w:proofErr w:type="spellStart"/>
      <w:r w:rsidR="007B0A2B" w:rsidRPr="007B0A2B">
        <w:rPr>
          <w:rFonts w:cs="Times-Italic"/>
        </w:rPr>
        <w:t>Chagas</w:t>
      </w:r>
      <w:proofErr w:type="spellEnd"/>
      <w:r w:rsidR="007B0A2B" w:rsidRPr="007B0A2B">
        <w:rPr>
          <w:rFonts w:cs="Times-Italic"/>
        </w:rPr>
        <w:t xml:space="preserve"> JF. (Brazil) 2011: Nutrition status and risk factors associated with length of hospital stay for surgical patients. JPEN  J </w:t>
      </w:r>
      <w:proofErr w:type="spellStart"/>
      <w:r w:rsidR="007B0A2B" w:rsidRPr="007B0A2B">
        <w:rPr>
          <w:rFonts w:cs="Times-Italic"/>
        </w:rPr>
        <w:t>Parenter</w:t>
      </w:r>
      <w:proofErr w:type="spellEnd"/>
      <w:r w:rsidR="007B0A2B" w:rsidRPr="007B0A2B">
        <w:rPr>
          <w:rFonts w:cs="Times-Italic"/>
        </w:rPr>
        <w:t xml:space="preserve"> Enteral </w:t>
      </w:r>
      <w:proofErr w:type="spellStart"/>
      <w:r w:rsidR="007B0A2B" w:rsidRPr="007B0A2B">
        <w:rPr>
          <w:rFonts w:cs="Times-Italic"/>
        </w:rPr>
        <w:t>Nutr</w:t>
      </w:r>
      <w:proofErr w:type="spellEnd"/>
      <w:r w:rsidR="007B0A2B" w:rsidRPr="007B0A2B">
        <w:rPr>
          <w:rFonts w:cs="Times-Italic"/>
        </w:rPr>
        <w:t xml:space="preserve">. 2011 Mar; 35(2):241-8. </w:t>
      </w:r>
      <w:proofErr w:type="spellStart"/>
      <w:r w:rsidR="007B0A2B" w:rsidRPr="007B0A2B">
        <w:rPr>
          <w:rFonts w:cs="Times-Italic"/>
        </w:rPr>
        <w:t>doi</w:t>
      </w:r>
      <w:proofErr w:type="spellEnd"/>
      <w:r w:rsidR="007B0A2B" w:rsidRPr="007B0A2B">
        <w:rPr>
          <w:rFonts w:cs="Times-Italic"/>
        </w:rPr>
        <w:t xml:space="preserve">: 10.1177/0148607110374477. </w:t>
      </w:r>
      <w:proofErr w:type="spellStart"/>
      <w:r w:rsidR="007B0A2B" w:rsidRPr="007B0A2B">
        <w:rPr>
          <w:rFonts w:cs="Times-Italic"/>
        </w:rPr>
        <w:t>Epub</w:t>
      </w:r>
      <w:proofErr w:type="spellEnd"/>
      <w:r w:rsidR="007B0A2B" w:rsidRPr="007B0A2B">
        <w:rPr>
          <w:rFonts w:cs="Times-Italic"/>
        </w:rPr>
        <w:t xml:space="preserve"> 2010 Oct 22</w:t>
      </w:r>
      <w:r w:rsidR="007B0A2B" w:rsidRPr="007B0A2B">
        <w:rPr>
          <w:rFonts w:cs="Times New Roman"/>
          <w:rtl/>
        </w:rPr>
        <w:t>.</w:t>
      </w:r>
    </w:p>
    <w:p w:rsidR="00A502B2" w:rsidRDefault="00617ADA" w:rsidP="007B0A2B">
      <w:pPr>
        <w:autoSpaceDE w:val="0"/>
        <w:autoSpaceDN w:val="0"/>
        <w:bidi w:val="0"/>
        <w:adjustRightInd w:val="0"/>
        <w:spacing w:after="0" w:line="240" w:lineRule="auto"/>
        <w:rPr>
          <w:rFonts w:cs="Times-Italic"/>
        </w:rPr>
      </w:pPr>
      <w:r>
        <w:rPr>
          <w:rFonts w:cs="Times-Italic"/>
        </w:rPr>
        <w:t>40.</w:t>
      </w:r>
      <w:r w:rsidR="007B0A2B" w:rsidRPr="007B0A2B">
        <w:rPr>
          <w:rFonts w:cs="Times-Italic"/>
        </w:rPr>
        <w:tab/>
        <w:t xml:space="preserve">James WP, </w:t>
      </w:r>
      <w:proofErr w:type="spellStart"/>
      <w:r w:rsidR="007B0A2B" w:rsidRPr="007B0A2B">
        <w:rPr>
          <w:rFonts w:cs="Times-Italic"/>
        </w:rPr>
        <w:t>Mascie</w:t>
      </w:r>
      <w:proofErr w:type="spellEnd"/>
      <w:r w:rsidR="007B0A2B" w:rsidRPr="007B0A2B">
        <w:rPr>
          <w:rFonts w:cs="Times-Italic"/>
        </w:rPr>
        <w:t xml:space="preserve">-Taylor GC, </w:t>
      </w:r>
      <w:proofErr w:type="spellStart"/>
      <w:r w:rsidR="007B0A2B" w:rsidRPr="007B0A2B">
        <w:rPr>
          <w:rFonts w:cs="Times-Italic"/>
        </w:rPr>
        <w:t>Norgan</w:t>
      </w:r>
      <w:proofErr w:type="spellEnd"/>
      <w:r w:rsidR="007B0A2B" w:rsidRPr="007B0A2B">
        <w:rPr>
          <w:rFonts w:cs="Times-Italic"/>
        </w:rPr>
        <w:t xml:space="preserve"> NG, </w:t>
      </w:r>
      <w:proofErr w:type="spellStart"/>
      <w:r w:rsidR="007B0A2B" w:rsidRPr="007B0A2B">
        <w:rPr>
          <w:rFonts w:cs="Times-Italic"/>
        </w:rPr>
        <w:t>Bistrian</w:t>
      </w:r>
      <w:proofErr w:type="spellEnd"/>
      <w:r w:rsidR="007B0A2B" w:rsidRPr="007B0A2B">
        <w:rPr>
          <w:rFonts w:cs="Times-Italic"/>
        </w:rPr>
        <w:t xml:space="preserve"> BR, </w:t>
      </w:r>
      <w:proofErr w:type="spellStart"/>
      <w:r w:rsidR="007B0A2B" w:rsidRPr="007B0A2B">
        <w:rPr>
          <w:rFonts w:cs="Times-Italic"/>
        </w:rPr>
        <w:t>Shetty</w:t>
      </w:r>
      <w:proofErr w:type="spellEnd"/>
      <w:r w:rsidR="007B0A2B" w:rsidRPr="007B0A2B">
        <w:rPr>
          <w:rFonts w:cs="Times-Italic"/>
        </w:rPr>
        <w:t xml:space="preserve"> PS, Ferro-</w:t>
      </w:r>
      <w:proofErr w:type="spellStart"/>
      <w:r w:rsidR="007B0A2B" w:rsidRPr="007B0A2B">
        <w:rPr>
          <w:rFonts w:cs="Times-Italic"/>
        </w:rPr>
        <w:t>Luzzi</w:t>
      </w:r>
      <w:proofErr w:type="spellEnd"/>
      <w:r w:rsidR="007B0A2B" w:rsidRPr="007B0A2B">
        <w:rPr>
          <w:rFonts w:cs="Times-Italic"/>
        </w:rPr>
        <w:t xml:space="preserve"> A. (1994): The value of arm circumference measurements in assessing chronic energy deficiency in Third World adults. </w:t>
      </w:r>
      <w:proofErr w:type="spellStart"/>
      <w:r w:rsidR="007B0A2B" w:rsidRPr="007B0A2B">
        <w:rPr>
          <w:rFonts w:cs="Times-Italic"/>
        </w:rPr>
        <w:t>Eur</w:t>
      </w:r>
      <w:proofErr w:type="spellEnd"/>
      <w:r w:rsidR="007B0A2B" w:rsidRPr="007B0A2B">
        <w:rPr>
          <w:rFonts w:cs="Times-Italic"/>
        </w:rPr>
        <w:t xml:space="preserve"> J </w:t>
      </w:r>
      <w:proofErr w:type="spellStart"/>
      <w:r w:rsidR="007B0A2B" w:rsidRPr="007B0A2B">
        <w:rPr>
          <w:rFonts w:cs="Times-Italic"/>
        </w:rPr>
        <w:t>Clin</w:t>
      </w:r>
      <w:proofErr w:type="spellEnd"/>
      <w:r w:rsidR="007B0A2B" w:rsidRPr="007B0A2B">
        <w:rPr>
          <w:rFonts w:cs="Times-Italic"/>
        </w:rPr>
        <w:t xml:space="preserve"> </w:t>
      </w:r>
      <w:proofErr w:type="spellStart"/>
      <w:r w:rsidR="007B0A2B" w:rsidRPr="007B0A2B">
        <w:rPr>
          <w:rFonts w:cs="Times-Italic"/>
        </w:rPr>
        <w:t>Nutr</w:t>
      </w:r>
      <w:proofErr w:type="spellEnd"/>
      <w:r w:rsidR="007B0A2B" w:rsidRPr="007B0A2B">
        <w:rPr>
          <w:rFonts w:cs="Times-Italic"/>
        </w:rPr>
        <w:t>.  48(12):883-94.</w:t>
      </w: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Default="00A502B2" w:rsidP="00A502B2">
      <w:pPr>
        <w:autoSpaceDE w:val="0"/>
        <w:autoSpaceDN w:val="0"/>
        <w:bidi w:val="0"/>
        <w:adjustRightInd w:val="0"/>
        <w:spacing w:after="0" w:line="240" w:lineRule="auto"/>
        <w:rPr>
          <w:rFonts w:cs="Times-Italic"/>
        </w:rPr>
      </w:pPr>
    </w:p>
    <w:p w:rsidR="00A502B2" w:rsidRPr="00B87596" w:rsidRDefault="00A502B2" w:rsidP="00A502B2">
      <w:pPr>
        <w:autoSpaceDE w:val="0"/>
        <w:autoSpaceDN w:val="0"/>
        <w:bidi w:val="0"/>
        <w:adjustRightInd w:val="0"/>
        <w:spacing w:after="0" w:line="240" w:lineRule="auto"/>
        <w:rPr>
          <w:rFonts w:cs="Times-Italic"/>
        </w:rPr>
      </w:pPr>
    </w:p>
    <w:p w:rsidR="00FF3DA0" w:rsidRPr="00B87596" w:rsidRDefault="00FF3DA0" w:rsidP="00FF3DA0">
      <w:pPr>
        <w:autoSpaceDE w:val="0"/>
        <w:autoSpaceDN w:val="0"/>
        <w:bidi w:val="0"/>
        <w:adjustRightInd w:val="0"/>
        <w:spacing w:after="0" w:line="240" w:lineRule="auto"/>
        <w:rPr>
          <w:rFonts w:cs="Times-Italic"/>
        </w:rPr>
      </w:pPr>
    </w:p>
    <w:p w:rsidR="00FF3DA0" w:rsidRDefault="003F175D" w:rsidP="00FF3DA0">
      <w:pPr>
        <w:autoSpaceDE w:val="0"/>
        <w:autoSpaceDN w:val="0"/>
        <w:bidi w:val="0"/>
        <w:adjustRightInd w:val="0"/>
        <w:spacing w:after="0" w:line="240" w:lineRule="auto"/>
        <w:rPr>
          <w:rFonts w:cs="Times-Italic"/>
          <w:sz w:val="28"/>
          <w:szCs w:val="26"/>
        </w:rPr>
      </w:pPr>
      <w:r>
        <w:rPr>
          <w:rFonts w:cs="Times-Italic"/>
          <w:sz w:val="28"/>
          <w:szCs w:val="26"/>
        </w:rPr>
        <w:t>Acknowledgment:</w:t>
      </w:r>
    </w:p>
    <w:p w:rsidR="00FF3DA0" w:rsidRPr="003F175D" w:rsidRDefault="003F175D" w:rsidP="003F175D">
      <w:pPr>
        <w:autoSpaceDE w:val="0"/>
        <w:autoSpaceDN w:val="0"/>
        <w:bidi w:val="0"/>
        <w:adjustRightInd w:val="0"/>
        <w:spacing w:after="0" w:line="240" w:lineRule="auto"/>
        <w:rPr>
          <w:rFonts w:cs="Times-Italic"/>
        </w:rPr>
      </w:pPr>
      <w:r w:rsidRPr="003F175D">
        <w:rPr>
          <w:rFonts w:cs="Times-Italic"/>
        </w:rPr>
        <w:t xml:space="preserve">We want to thank </w:t>
      </w:r>
      <w:proofErr w:type="spellStart"/>
      <w:r w:rsidR="00FF3DA0" w:rsidRPr="003F175D">
        <w:rPr>
          <w:rFonts w:cs="Times-Italic"/>
        </w:rPr>
        <w:t>Dr</w:t>
      </w:r>
      <w:proofErr w:type="spellEnd"/>
      <w:r w:rsidR="00FF3DA0" w:rsidRPr="003F175D">
        <w:rPr>
          <w:rFonts w:cs="Times-Italic"/>
        </w:rPr>
        <w:t xml:space="preserve"> </w:t>
      </w:r>
      <w:r>
        <w:rPr>
          <w:rFonts w:cs="Times-Italic"/>
        </w:rPr>
        <w:t>H</w:t>
      </w:r>
      <w:r w:rsidR="00FF3DA0" w:rsidRPr="003F175D">
        <w:rPr>
          <w:rFonts w:cs="Times-Italic"/>
        </w:rPr>
        <w:t xml:space="preserve">assan </w:t>
      </w:r>
      <w:proofErr w:type="spellStart"/>
      <w:r>
        <w:rPr>
          <w:rFonts w:cs="Times-Italic"/>
        </w:rPr>
        <w:t>B</w:t>
      </w:r>
      <w:r w:rsidR="00FF3DA0" w:rsidRPr="003F175D">
        <w:rPr>
          <w:rFonts w:cs="Times-Italic"/>
        </w:rPr>
        <w:t>okhari</w:t>
      </w:r>
      <w:proofErr w:type="spellEnd"/>
      <w:r>
        <w:rPr>
          <w:rFonts w:cs="Times-Italic"/>
        </w:rPr>
        <w:t xml:space="preserve"> head of department of gastroenterology, Al Noor Specialist Hospital, for his great advice and help; also, we want to thank </w:t>
      </w:r>
      <w:r w:rsidR="00FF3DA0" w:rsidRPr="003F175D">
        <w:rPr>
          <w:rFonts w:cs="Times-Italic"/>
        </w:rPr>
        <w:t>Dr</w:t>
      </w:r>
      <w:r>
        <w:rPr>
          <w:rFonts w:cs="Times-Italic"/>
        </w:rPr>
        <w:t>.</w:t>
      </w:r>
      <w:r w:rsidR="00FF3DA0" w:rsidRPr="003F175D">
        <w:rPr>
          <w:rFonts w:cs="Times-Italic"/>
        </w:rPr>
        <w:t xml:space="preserve"> </w:t>
      </w:r>
      <w:proofErr w:type="spellStart"/>
      <w:r>
        <w:rPr>
          <w:rFonts w:cs="Times-Italic"/>
        </w:rPr>
        <w:t>A</w:t>
      </w:r>
      <w:r w:rsidR="00FF3DA0" w:rsidRPr="003F175D">
        <w:rPr>
          <w:rFonts w:cs="Times-Italic"/>
        </w:rPr>
        <w:t>bdel</w:t>
      </w:r>
      <w:r>
        <w:rPr>
          <w:rFonts w:cs="Times-Italic"/>
        </w:rPr>
        <w:t>R</w:t>
      </w:r>
      <w:r w:rsidR="00FF3DA0" w:rsidRPr="003F175D">
        <w:rPr>
          <w:rFonts w:cs="Times-Italic"/>
        </w:rPr>
        <w:t>ahman</w:t>
      </w:r>
      <w:proofErr w:type="spellEnd"/>
      <w:r w:rsidR="00FF3DA0" w:rsidRPr="003F175D">
        <w:rPr>
          <w:rFonts w:cs="Times-Italic"/>
        </w:rPr>
        <w:t xml:space="preserve"> </w:t>
      </w:r>
      <w:r>
        <w:rPr>
          <w:rFonts w:cs="Times-Italic"/>
        </w:rPr>
        <w:t>A</w:t>
      </w:r>
      <w:r w:rsidR="00FF3DA0" w:rsidRPr="003F175D">
        <w:rPr>
          <w:rFonts w:cs="Times-Italic"/>
        </w:rPr>
        <w:t xml:space="preserve">l </w:t>
      </w:r>
      <w:proofErr w:type="spellStart"/>
      <w:r>
        <w:rPr>
          <w:rFonts w:cs="Times-Italic"/>
        </w:rPr>
        <w:t>M</w:t>
      </w:r>
      <w:r w:rsidR="00FF3DA0" w:rsidRPr="003F175D">
        <w:rPr>
          <w:rFonts w:cs="Times-Italic"/>
        </w:rPr>
        <w:t>azroo'a</w:t>
      </w:r>
      <w:proofErr w:type="spellEnd"/>
      <w:r>
        <w:rPr>
          <w:rFonts w:cs="Times-Italic"/>
        </w:rPr>
        <w:t xml:space="preserve"> and </w:t>
      </w:r>
      <w:proofErr w:type="spellStart"/>
      <w:r w:rsidR="00FF3DA0" w:rsidRPr="003F175D">
        <w:rPr>
          <w:rFonts w:cs="Times-Italic"/>
        </w:rPr>
        <w:t>Dra</w:t>
      </w:r>
      <w:proofErr w:type="spellEnd"/>
      <w:r>
        <w:rPr>
          <w:rFonts w:cs="Times-Italic"/>
        </w:rPr>
        <w:t>.</w:t>
      </w:r>
      <w:r w:rsidR="00FF3DA0" w:rsidRPr="003F175D">
        <w:rPr>
          <w:rFonts w:cs="Times-Italic"/>
        </w:rPr>
        <w:t xml:space="preserve"> </w:t>
      </w:r>
      <w:proofErr w:type="spellStart"/>
      <w:r>
        <w:rPr>
          <w:rFonts w:cs="Times-Italic"/>
        </w:rPr>
        <w:t>R</w:t>
      </w:r>
      <w:r w:rsidR="00FF3DA0" w:rsidRPr="003F175D">
        <w:rPr>
          <w:rFonts w:cs="Times-Italic"/>
        </w:rPr>
        <w:t>eem</w:t>
      </w:r>
      <w:proofErr w:type="spellEnd"/>
      <w:r w:rsidR="00FF3DA0" w:rsidRPr="003F175D">
        <w:rPr>
          <w:rFonts w:cs="Times-Italic"/>
        </w:rPr>
        <w:t xml:space="preserve"> </w:t>
      </w:r>
      <w:r>
        <w:rPr>
          <w:rFonts w:cs="Times-Italic"/>
        </w:rPr>
        <w:t>A</w:t>
      </w:r>
      <w:r w:rsidR="00FF3DA0" w:rsidRPr="003F175D">
        <w:rPr>
          <w:rFonts w:cs="Times-Italic"/>
        </w:rPr>
        <w:t xml:space="preserve">l </w:t>
      </w:r>
      <w:proofErr w:type="spellStart"/>
      <w:r>
        <w:rPr>
          <w:rFonts w:cs="Times-Italic"/>
        </w:rPr>
        <w:t>J</w:t>
      </w:r>
      <w:r w:rsidR="00FF3DA0" w:rsidRPr="003F175D">
        <w:rPr>
          <w:rFonts w:cs="Times-Italic"/>
        </w:rPr>
        <w:t>ahdali</w:t>
      </w:r>
      <w:proofErr w:type="spellEnd"/>
      <w:r>
        <w:rPr>
          <w:rFonts w:cs="Times-Italic"/>
        </w:rPr>
        <w:t xml:space="preserve"> both were Interns during performing the study and they perform a great job in taking the </w:t>
      </w:r>
      <w:r w:rsidR="00BC7CD7">
        <w:rPr>
          <w:rFonts w:cs="Times-Italic"/>
        </w:rPr>
        <w:t xml:space="preserve">sheets and measurements of the patients. </w:t>
      </w:r>
      <w:r>
        <w:rPr>
          <w:rFonts w:cs="Times-Italic"/>
        </w:rPr>
        <w:t xml:space="preserve"> </w:t>
      </w:r>
    </w:p>
    <w:sectPr w:rsidR="00FF3DA0" w:rsidRPr="003F175D" w:rsidSect="007F529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B2"/>
    <w:family w:val="auto"/>
    <w:notTrueType/>
    <w:pitch w:val="default"/>
    <w:sig w:usb0="00002001" w:usb1="00000000" w:usb2="00000000" w:usb3="00000000" w:csb0="0000004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429"/>
    <w:multiLevelType w:val="hybridMultilevel"/>
    <w:tmpl w:val="14648D0C"/>
    <w:lvl w:ilvl="0" w:tplc="D25EEA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D042BAC"/>
    <w:multiLevelType w:val="multilevel"/>
    <w:tmpl w:val="5AC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A23EA6"/>
    <w:multiLevelType w:val="multilevel"/>
    <w:tmpl w:val="5456B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913453"/>
    <w:multiLevelType w:val="multilevel"/>
    <w:tmpl w:val="868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1149A"/>
    <w:multiLevelType w:val="hybridMultilevel"/>
    <w:tmpl w:val="36ACC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0A"/>
    <w:rsid w:val="00000D15"/>
    <w:rsid w:val="0000166E"/>
    <w:rsid w:val="000058E5"/>
    <w:rsid w:val="00016B66"/>
    <w:rsid w:val="000175A1"/>
    <w:rsid w:val="0002237D"/>
    <w:rsid w:val="00035DB3"/>
    <w:rsid w:val="00036FD5"/>
    <w:rsid w:val="00037D9A"/>
    <w:rsid w:val="000437EB"/>
    <w:rsid w:val="00044511"/>
    <w:rsid w:val="00050F81"/>
    <w:rsid w:val="00053CD8"/>
    <w:rsid w:val="00066FB1"/>
    <w:rsid w:val="00067A99"/>
    <w:rsid w:val="0007302D"/>
    <w:rsid w:val="000771BE"/>
    <w:rsid w:val="000815B0"/>
    <w:rsid w:val="00085D41"/>
    <w:rsid w:val="00095AFA"/>
    <w:rsid w:val="000A56D2"/>
    <w:rsid w:val="000A7315"/>
    <w:rsid w:val="000A758B"/>
    <w:rsid w:val="000B0BBC"/>
    <w:rsid w:val="000B7AB0"/>
    <w:rsid w:val="000C1405"/>
    <w:rsid w:val="000D3917"/>
    <w:rsid w:val="000D3FDB"/>
    <w:rsid w:val="000E0459"/>
    <w:rsid w:val="000E079E"/>
    <w:rsid w:val="000E40CD"/>
    <w:rsid w:val="000F0FED"/>
    <w:rsid w:val="000F1602"/>
    <w:rsid w:val="000F5672"/>
    <w:rsid w:val="00105CA1"/>
    <w:rsid w:val="0012079D"/>
    <w:rsid w:val="0012259C"/>
    <w:rsid w:val="001226CF"/>
    <w:rsid w:val="00122DB6"/>
    <w:rsid w:val="00131BE3"/>
    <w:rsid w:val="00133644"/>
    <w:rsid w:val="001357C3"/>
    <w:rsid w:val="001433E8"/>
    <w:rsid w:val="00150722"/>
    <w:rsid w:val="00152C08"/>
    <w:rsid w:val="001532D7"/>
    <w:rsid w:val="00155E9D"/>
    <w:rsid w:val="00156ECB"/>
    <w:rsid w:val="00157C2B"/>
    <w:rsid w:val="001607BB"/>
    <w:rsid w:val="001636A8"/>
    <w:rsid w:val="00171A82"/>
    <w:rsid w:val="00172DE1"/>
    <w:rsid w:val="00177E2A"/>
    <w:rsid w:val="00182A33"/>
    <w:rsid w:val="00186708"/>
    <w:rsid w:val="001868B2"/>
    <w:rsid w:val="00190188"/>
    <w:rsid w:val="001929ED"/>
    <w:rsid w:val="00193A84"/>
    <w:rsid w:val="00194A74"/>
    <w:rsid w:val="001A104B"/>
    <w:rsid w:val="001B7913"/>
    <w:rsid w:val="001C3129"/>
    <w:rsid w:val="001C3AFD"/>
    <w:rsid w:val="001C3BAE"/>
    <w:rsid w:val="001C6EF2"/>
    <w:rsid w:val="001E0CFD"/>
    <w:rsid w:val="001E22D9"/>
    <w:rsid w:val="001E542F"/>
    <w:rsid w:val="001E767A"/>
    <w:rsid w:val="00200800"/>
    <w:rsid w:val="00202216"/>
    <w:rsid w:val="00204919"/>
    <w:rsid w:val="002137F2"/>
    <w:rsid w:val="0021587A"/>
    <w:rsid w:val="002270F5"/>
    <w:rsid w:val="002312CA"/>
    <w:rsid w:val="00233074"/>
    <w:rsid w:val="00235593"/>
    <w:rsid w:val="00242854"/>
    <w:rsid w:val="00242B40"/>
    <w:rsid w:val="0024371B"/>
    <w:rsid w:val="00243C98"/>
    <w:rsid w:val="00243E18"/>
    <w:rsid w:val="0024580A"/>
    <w:rsid w:val="0025170B"/>
    <w:rsid w:val="00272341"/>
    <w:rsid w:val="00272B2D"/>
    <w:rsid w:val="00273C85"/>
    <w:rsid w:val="002751E4"/>
    <w:rsid w:val="00277F27"/>
    <w:rsid w:val="00285A20"/>
    <w:rsid w:val="002918CD"/>
    <w:rsid w:val="002A20F6"/>
    <w:rsid w:val="002A2B45"/>
    <w:rsid w:val="002A4028"/>
    <w:rsid w:val="002A6356"/>
    <w:rsid w:val="002A74BA"/>
    <w:rsid w:val="002B06C6"/>
    <w:rsid w:val="002B17C4"/>
    <w:rsid w:val="002B4786"/>
    <w:rsid w:val="002C16B0"/>
    <w:rsid w:val="002C1D03"/>
    <w:rsid w:val="002C43CF"/>
    <w:rsid w:val="002C6E69"/>
    <w:rsid w:val="002D0C38"/>
    <w:rsid w:val="002D2182"/>
    <w:rsid w:val="002E11AB"/>
    <w:rsid w:val="002E6478"/>
    <w:rsid w:val="002F138F"/>
    <w:rsid w:val="00301902"/>
    <w:rsid w:val="00313DA2"/>
    <w:rsid w:val="00314621"/>
    <w:rsid w:val="0032100E"/>
    <w:rsid w:val="00321FD0"/>
    <w:rsid w:val="003248CD"/>
    <w:rsid w:val="00327B63"/>
    <w:rsid w:val="00335142"/>
    <w:rsid w:val="00335DFB"/>
    <w:rsid w:val="003379F4"/>
    <w:rsid w:val="003403EC"/>
    <w:rsid w:val="00342502"/>
    <w:rsid w:val="00344D73"/>
    <w:rsid w:val="003500EB"/>
    <w:rsid w:val="0035307F"/>
    <w:rsid w:val="0036291A"/>
    <w:rsid w:val="00367B56"/>
    <w:rsid w:val="00372EEE"/>
    <w:rsid w:val="00374DD5"/>
    <w:rsid w:val="00375188"/>
    <w:rsid w:val="00375C55"/>
    <w:rsid w:val="00376785"/>
    <w:rsid w:val="00385965"/>
    <w:rsid w:val="00386706"/>
    <w:rsid w:val="0039320A"/>
    <w:rsid w:val="00394E51"/>
    <w:rsid w:val="00397737"/>
    <w:rsid w:val="003B1EE4"/>
    <w:rsid w:val="003C72AF"/>
    <w:rsid w:val="003D18FA"/>
    <w:rsid w:val="003D2DCC"/>
    <w:rsid w:val="003D720A"/>
    <w:rsid w:val="003E1738"/>
    <w:rsid w:val="003F175D"/>
    <w:rsid w:val="003F3B6B"/>
    <w:rsid w:val="003F5D22"/>
    <w:rsid w:val="00406E54"/>
    <w:rsid w:val="00407BA5"/>
    <w:rsid w:val="004105A2"/>
    <w:rsid w:val="004114B4"/>
    <w:rsid w:val="004115C5"/>
    <w:rsid w:val="00415B9C"/>
    <w:rsid w:val="00427001"/>
    <w:rsid w:val="004312CC"/>
    <w:rsid w:val="004336F1"/>
    <w:rsid w:val="00434754"/>
    <w:rsid w:val="004347A7"/>
    <w:rsid w:val="00437713"/>
    <w:rsid w:val="00440886"/>
    <w:rsid w:val="004461B5"/>
    <w:rsid w:val="00454552"/>
    <w:rsid w:val="00454698"/>
    <w:rsid w:val="004603EA"/>
    <w:rsid w:val="00462999"/>
    <w:rsid w:val="00463993"/>
    <w:rsid w:val="0046695E"/>
    <w:rsid w:val="0047181D"/>
    <w:rsid w:val="004A72DD"/>
    <w:rsid w:val="004B0C36"/>
    <w:rsid w:val="004C0CB6"/>
    <w:rsid w:val="004C0DD6"/>
    <w:rsid w:val="004C20E7"/>
    <w:rsid w:val="004C2F01"/>
    <w:rsid w:val="004C5ACC"/>
    <w:rsid w:val="004C682C"/>
    <w:rsid w:val="004D07D6"/>
    <w:rsid w:val="004D3794"/>
    <w:rsid w:val="004E0DD0"/>
    <w:rsid w:val="004E1879"/>
    <w:rsid w:val="004E48E4"/>
    <w:rsid w:val="004F0B03"/>
    <w:rsid w:val="004F1794"/>
    <w:rsid w:val="004F35E5"/>
    <w:rsid w:val="004F387B"/>
    <w:rsid w:val="0050200C"/>
    <w:rsid w:val="005032CE"/>
    <w:rsid w:val="0050741C"/>
    <w:rsid w:val="0052409B"/>
    <w:rsid w:val="005252EE"/>
    <w:rsid w:val="00525D11"/>
    <w:rsid w:val="00543D78"/>
    <w:rsid w:val="00544293"/>
    <w:rsid w:val="005453D4"/>
    <w:rsid w:val="0054619D"/>
    <w:rsid w:val="00547CBE"/>
    <w:rsid w:val="005515B6"/>
    <w:rsid w:val="005536E7"/>
    <w:rsid w:val="00556882"/>
    <w:rsid w:val="00556FC3"/>
    <w:rsid w:val="00564A4C"/>
    <w:rsid w:val="0056565A"/>
    <w:rsid w:val="005672B0"/>
    <w:rsid w:val="0056759A"/>
    <w:rsid w:val="005769FA"/>
    <w:rsid w:val="00576C5E"/>
    <w:rsid w:val="00583E11"/>
    <w:rsid w:val="00587F8C"/>
    <w:rsid w:val="00596496"/>
    <w:rsid w:val="00597190"/>
    <w:rsid w:val="005A1054"/>
    <w:rsid w:val="005A6058"/>
    <w:rsid w:val="005A692E"/>
    <w:rsid w:val="005B358E"/>
    <w:rsid w:val="005B74FD"/>
    <w:rsid w:val="005B7817"/>
    <w:rsid w:val="005B7CC4"/>
    <w:rsid w:val="005C2443"/>
    <w:rsid w:val="005C41ED"/>
    <w:rsid w:val="005D044E"/>
    <w:rsid w:val="005D3E58"/>
    <w:rsid w:val="005D48EB"/>
    <w:rsid w:val="005D6946"/>
    <w:rsid w:val="005D7C32"/>
    <w:rsid w:val="005E0C6B"/>
    <w:rsid w:val="005E16A1"/>
    <w:rsid w:val="005E3209"/>
    <w:rsid w:val="005E6879"/>
    <w:rsid w:val="005F572D"/>
    <w:rsid w:val="005F721A"/>
    <w:rsid w:val="006017DF"/>
    <w:rsid w:val="0060258F"/>
    <w:rsid w:val="00612A5E"/>
    <w:rsid w:val="006138C7"/>
    <w:rsid w:val="00617ADA"/>
    <w:rsid w:val="006229B3"/>
    <w:rsid w:val="00634354"/>
    <w:rsid w:val="00636746"/>
    <w:rsid w:val="00637E73"/>
    <w:rsid w:val="0064333F"/>
    <w:rsid w:val="0064592D"/>
    <w:rsid w:val="00645B30"/>
    <w:rsid w:val="00654B52"/>
    <w:rsid w:val="00654D02"/>
    <w:rsid w:val="0065652A"/>
    <w:rsid w:val="0066144A"/>
    <w:rsid w:val="00661730"/>
    <w:rsid w:val="00662673"/>
    <w:rsid w:val="00672C00"/>
    <w:rsid w:val="00673A11"/>
    <w:rsid w:val="00676A32"/>
    <w:rsid w:val="00682A78"/>
    <w:rsid w:val="00685F95"/>
    <w:rsid w:val="00687FFE"/>
    <w:rsid w:val="00691AF5"/>
    <w:rsid w:val="00694C76"/>
    <w:rsid w:val="00696D3A"/>
    <w:rsid w:val="006A09F3"/>
    <w:rsid w:val="006A1277"/>
    <w:rsid w:val="006B38CA"/>
    <w:rsid w:val="006B5A87"/>
    <w:rsid w:val="006C3DB6"/>
    <w:rsid w:val="006D1C38"/>
    <w:rsid w:val="006D4E80"/>
    <w:rsid w:val="006E088B"/>
    <w:rsid w:val="006E6656"/>
    <w:rsid w:val="006F47F3"/>
    <w:rsid w:val="00701DD2"/>
    <w:rsid w:val="00704AB4"/>
    <w:rsid w:val="00706FEC"/>
    <w:rsid w:val="0071036C"/>
    <w:rsid w:val="00713296"/>
    <w:rsid w:val="00717D86"/>
    <w:rsid w:val="00730976"/>
    <w:rsid w:val="00732F46"/>
    <w:rsid w:val="0074122F"/>
    <w:rsid w:val="00741D6B"/>
    <w:rsid w:val="007432C2"/>
    <w:rsid w:val="00744531"/>
    <w:rsid w:val="00744985"/>
    <w:rsid w:val="00752A8F"/>
    <w:rsid w:val="00752C42"/>
    <w:rsid w:val="00752E36"/>
    <w:rsid w:val="00753EFD"/>
    <w:rsid w:val="00757150"/>
    <w:rsid w:val="007622CE"/>
    <w:rsid w:val="0076416D"/>
    <w:rsid w:val="00765ACB"/>
    <w:rsid w:val="00775919"/>
    <w:rsid w:val="00780EC3"/>
    <w:rsid w:val="00781120"/>
    <w:rsid w:val="00783B6A"/>
    <w:rsid w:val="007846AD"/>
    <w:rsid w:val="00793BEF"/>
    <w:rsid w:val="007B0A2B"/>
    <w:rsid w:val="007C4260"/>
    <w:rsid w:val="007C69A1"/>
    <w:rsid w:val="007D0845"/>
    <w:rsid w:val="007D355D"/>
    <w:rsid w:val="007D36EB"/>
    <w:rsid w:val="007D63F8"/>
    <w:rsid w:val="007E0044"/>
    <w:rsid w:val="007E2E86"/>
    <w:rsid w:val="007F5298"/>
    <w:rsid w:val="007F5FBD"/>
    <w:rsid w:val="007F6053"/>
    <w:rsid w:val="008021EE"/>
    <w:rsid w:val="00803E72"/>
    <w:rsid w:val="00810831"/>
    <w:rsid w:val="00814103"/>
    <w:rsid w:val="008143EA"/>
    <w:rsid w:val="00821065"/>
    <w:rsid w:val="00821AE3"/>
    <w:rsid w:val="0083259B"/>
    <w:rsid w:val="00833621"/>
    <w:rsid w:val="00836344"/>
    <w:rsid w:val="00837A4B"/>
    <w:rsid w:val="008506CF"/>
    <w:rsid w:val="00852462"/>
    <w:rsid w:val="0085731D"/>
    <w:rsid w:val="0086119A"/>
    <w:rsid w:val="008637D4"/>
    <w:rsid w:val="008700CF"/>
    <w:rsid w:val="00883161"/>
    <w:rsid w:val="008908F9"/>
    <w:rsid w:val="00892DB7"/>
    <w:rsid w:val="00896CCB"/>
    <w:rsid w:val="008A6974"/>
    <w:rsid w:val="008B085D"/>
    <w:rsid w:val="008B262D"/>
    <w:rsid w:val="008B3AB5"/>
    <w:rsid w:val="008B3CDF"/>
    <w:rsid w:val="008B5360"/>
    <w:rsid w:val="008C48C1"/>
    <w:rsid w:val="008D052B"/>
    <w:rsid w:val="008D1D5A"/>
    <w:rsid w:val="008D229B"/>
    <w:rsid w:val="008D76A3"/>
    <w:rsid w:val="008D7800"/>
    <w:rsid w:val="008E2C7F"/>
    <w:rsid w:val="008F4C40"/>
    <w:rsid w:val="008F6774"/>
    <w:rsid w:val="00900BF6"/>
    <w:rsid w:val="00903683"/>
    <w:rsid w:val="00910AC0"/>
    <w:rsid w:val="00911AE0"/>
    <w:rsid w:val="0092006D"/>
    <w:rsid w:val="00933AA8"/>
    <w:rsid w:val="00934024"/>
    <w:rsid w:val="0094299E"/>
    <w:rsid w:val="00947107"/>
    <w:rsid w:val="00953BAA"/>
    <w:rsid w:val="00962A0F"/>
    <w:rsid w:val="00963B9E"/>
    <w:rsid w:val="009661D8"/>
    <w:rsid w:val="009674DE"/>
    <w:rsid w:val="00972B6F"/>
    <w:rsid w:val="00984FF8"/>
    <w:rsid w:val="00985F64"/>
    <w:rsid w:val="00992929"/>
    <w:rsid w:val="00996369"/>
    <w:rsid w:val="00996D42"/>
    <w:rsid w:val="00996FCB"/>
    <w:rsid w:val="009A2ECA"/>
    <w:rsid w:val="009B02F4"/>
    <w:rsid w:val="009B27C4"/>
    <w:rsid w:val="009B56AB"/>
    <w:rsid w:val="009D0F50"/>
    <w:rsid w:val="009E24B4"/>
    <w:rsid w:val="009E2813"/>
    <w:rsid w:val="009E350A"/>
    <w:rsid w:val="009F633E"/>
    <w:rsid w:val="00A01304"/>
    <w:rsid w:val="00A0163F"/>
    <w:rsid w:val="00A02AE3"/>
    <w:rsid w:val="00A03C48"/>
    <w:rsid w:val="00A17698"/>
    <w:rsid w:val="00A3048E"/>
    <w:rsid w:val="00A31BD8"/>
    <w:rsid w:val="00A35DE9"/>
    <w:rsid w:val="00A36087"/>
    <w:rsid w:val="00A360E8"/>
    <w:rsid w:val="00A40CC1"/>
    <w:rsid w:val="00A502B2"/>
    <w:rsid w:val="00A51577"/>
    <w:rsid w:val="00A54F2B"/>
    <w:rsid w:val="00A666C8"/>
    <w:rsid w:val="00A7607B"/>
    <w:rsid w:val="00A77C05"/>
    <w:rsid w:val="00A81B75"/>
    <w:rsid w:val="00A81C92"/>
    <w:rsid w:val="00A84E62"/>
    <w:rsid w:val="00A91004"/>
    <w:rsid w:val="00A95A20"/>
    <w:rsid w:val="00AA10D6"/>
    <w:rsid w:val="00AB2798"/>
    <w:rsid w:val="00AB6BA1"/>
    <w:rsid w:val="00AC2461"/>
    <w:rsid w:val="00AD3B4E"/>
    <w:rsid w:val="00AD4C4C"/>
    <w:rsid w:val="00AE029A"/>
    <w:rsid w:val="00AE694A"/>
    <w:rsid w:val="00AE7354"/>
    <w:rsid w:val="00AF12E4"/>
    <w:rsid w:val="00AF1F60"/>
    <w:rsid w:val="00B01F1F"/>
    <w:rsid w:val="00B02C3C"/>
    <w:rsid w:val="00B046A7"/>
    <w:rsid w:val="00B13399"/>
    <w:rsid w:val="00B155E5"/>
    <w:rsid w:val="00B32872"/>
    <w:rsid w:val="00B43AD0"/>
    <w:rsid w:val="00B46EA3"/>
    <w:rsid w:val="00B47646"/>
    <w:rsid w:val="00B47CB4"/>
    <w:rsid w:val="00B51209"/>
    <w:rsid w:val="00B54F3A"/>
    <w:rsid w:val="00B57A6F"/>
    <w:rsid w:val="00B65C33"/>
    <w:rsid w:val="00B71EC6"/>
    <w:rsid w:val="00B7573F"/>
    <w:rsid w:val="00B779CA"/>
    <w:rsid w:val="00B80E76"/>
    <w:rsid w:val="00B849A6"/>
    <w:rsid w:val="00B87596"/>
    <w:rsid w:val="00B87822"/>
    <w:rsid w:val="00B965B5"/>
    <w:rsid w:val="00BA6342"/>
    <w:rsid w:val="00BA6621"/>
    <w:rsid w:val="00BB0064"/>
    <w:rsid w:val="00BB09BB"/>
    <w:rsid w:val="00BC7066"/>
    <w:rsid w:val="00BC7CD7"/>
    <w:rsid w:val="00BC7E9E"/>
    <w:rsid w:val="00BE3E72"/>
    <w:rsid w:val="00BF0A52"/>
    <w:rsid w:val="00BF601F"/>
    <w:rsid w:val="00BF67D9"/>
    <w:rsid w:val="00C00E15"/>
    <w:rsid w:val="00C05A8A"/>
    <w:rsid w:val="00C079BD"/>
    <w:rsid w:val="00C1223B"/>
    <w:rsid w:val="00C146F2"/>
    <w:rsid w:val="00C17D8A"/>
    <w:rsid w:val="00C21DBD"/>
    <w:rsid w:val="00C26D2F"/>
    <w:rsid w:val="00C37819"/>
    <w:rsid w:val="00C424BB"/>
    <w:rsid w:val="00C4528B"/>
    <w:rsid w:val="00C64DC3"/>
    <w:rsid w:val="00C66AD9"/>
    <w:rsid w:val="00C66C56"/>
    <w:rsid w:val="00C73144"/>
    <w:rsid w:val="00C76FF6"/>
    <w:rsid w:val="00C771A0"/>
    <w:rsid w:val="00C8302E"/>
    <w:rsid w:val="00C85E2C"/>
    <w:rsid w:val="00C87437"/>
    <w:rsid w:val="00C9063C"/>
    <w:rsid w:val="00C95605"/>
    <w:rsid w:val="00CB0973"/>
    <w:rsid w:val="00CB27CC"/>
    <w:rsid w:val="00CB3C93"/>
    <w:rsid w:val="00CB4858"/>
    <w:rsid w:val="00CB4EEB"/>
    <w:rsid w:val="00CB57BB"/>
    <w:rsid w:val="00CB6D91"/>
    <w:rsid w:val="00CC3021"/>
    <w:rsid w:val="00CC49BB"/>
    <w:rsid w:val="00CC699C"/>
    <w:rsid w:val="00CD0835"/>
    <w:rsid w:val="00CD1084"/>
    <w:rsid w:val="00CD1180"/>
    <w:rsid w:val="00CE7A35"/>
    <w:rsid w:val="00CF0DCF"/>
    <w:rsid w:val="00D02B8A"/>
    <w:rsid w:val="00D06A5C"/>
    <w:rsid w:val="00D07938"/>
    <w:rsid w:val="00D10C8C"/>
    <w:rsid w:val="00D11335"/>
    <w:rsid w:val="00D1432D"/>
    <w:rsid w:val="00D2281A"/>
    <w:rsid w:val="00D273ED"/>
    <w:rsid w:val="00D27AC6"/>
    <w:rsid w:val="00D338AA"/>
    <w:rsid w:val="00D3654C"/>
    <w:rsid w:val="00D36B31"/>
    <w:rsid w:val="00D64CD9"/>
    <w:rsid w:val="00D67AD7"/>
    <w:rsid w:val="00D730F7"/>
    <w:rsid w:val="00D740E8"/>
    <w:rsid w:val="00D74FBB"/>
    <w:rsid w:val="00D830C5"/>
    <w:rsid w:val="00D930FD"/>
    <w:rsid w:val="00D951FE"/>
    <w:rsid w:val="00DB429F"/>
    <w:rsid w:val="00DB4D44"/>
    <w:rsid w:val="00DC01BD"/>
    <w:rsid w:val="00DC2E67"/>
    <w:rsid w:val="00DD13E3"/>
    <w:rsid w:val="00DD27C3"/>
    <w:rsid w:val="00DD2D82"/>
    <w:rsid w:val="00DD4D39"/>
    <w:rsid w:val="00DD70C4"/>
    <w:rsid w:val="00DE0317"/>
    <w:rsid w:val="00DE1407"/>
    <w:rsid w:val="00DE79F4"/>
    <w:rsid w:val="00DF0166"/>
    <w:rsid w:val="00DF05C6"/>
    <w:rsid w:val="00E0020F"/>
    <w:rsid w:val="00E11B16"/>
    <w:rsid w:val="00E13012"/>
    <w:rsid w:val="00E133CA"/>
    <w:rsid w:val="00E25039"/>
    <w:rsid w:val="00E26A80"/>
    <w:rsid w:val="00E317DF"/>
    <w:rsid w:val="00E319C4"/>
    <w:rsid w:val="00E41C4E"/>
    <w:rsid w:val="00E41D54"/>
    <w:rsid w:val="00E428DD"/>
    <w:rsid w:val="00E450FA"/>
    <w:rsid w:val="00E460D1"/>
    <w:rsid w:val="00E46435"/>
    <w:rsid w:val="00E52D44"/>
    <w:rsid w:val="00E62E30"/>
    <w:rsid w:val="00E631BC"/>
    <w:rsid w:val="00E702BE"/>
    <w:rsid w:val="00E82F3C"/>
    <w:rsid w:val="00E86D78"/>
    <w:rsid w:val="00E93BD4"/>
    <w:rsid w:val="00E940F5"/>
    <w:rsid w:val="00E96300"/>
    <w:rsid w:val="00EA308A"/>
    <w:rsid w:val="00EB20C8"/>
    <w:rsid w:val="00EB2279"/>
    <w:rsid w:val="00EB3DD1"/>
    <w:rsid w:val="00EB44B4"/>
    <w:rsid w:val="00EB47E8"/>
    <w:rsid w:val="00EB5578"/>
    <w:rsid w:val="00EC3849"/>
    <w:rsid w:val="00ED58AF"/>
    <w:rsid w:val="00EE0EF6"/>
    <w:rsid w:val="00EE18AE"/>
    <w:rsid w:val="00EE602F"/>
    <w:rsid w:val="00EF4918"/>
    <w:rsid w:val="00F00CCB"/>
    <w:rsid w:val="00F02F9F"/>
    <w:rsid w:val="00F101F5"/>
    <w:rsid w:val="00F217A7"/>
    <w:rsid w:val="00F22F8C"/>
    <w:rsid w:val="00F25D0A"/>
    <w:rsid w:val="00F318B9"/>
    <w:rsid w:val="00F32F34"/>
    <w:rsid w:val="00F377D7"/>
    <w:rsid w:val="00F43CDB"/>
    <w:rsid w:val="00F535D1"/>
    <w:rsid w:val="00F56E4F"/>
    <w:rsid w:val="00F61A96"/>
    <w:rsid w:val="00F62198"/>
    <w:rsid w:val="00F67673"/>
    <w:rsid w:val="00F7687D"/>
    <w:rsid w:val="00F80205"/>
    <w:rsid w:val="00F816FF"/>
    <w:rsid w:val="00F8191E"/>
    <w:rsid w:val="00F85A85"/>
    <w:rsid w:val="00F9136C"/>
    <w:rsid w:val="00FB5B8D"/>
    <w:rsid w:val="00FB6CB4"/>
    <w:rsid w:val="00FC130A"/>
    <w:rsid w:val="00FC2B77"/>
    <w:rsid w:val="00FD1372"/>
    <w:rsid w:val="00FD201E"/>
    <w:rsid w:val="00FD2102"/>
    <w:rsid w:val="00FD2407"/>
    <w:rsid w:val="00FD2617"/>
    <w:rsid w:val="00FD2DDB"/>
    <w:rsid w:val="00FD3C53"/>
    <w:rsid w:val="00FE3470"/>
    <w:rsid w:val="00FE4764"/>
    <w:rsid w:val="00FE7C00"/>
    <w:rsid w:val="00FF3DA0"/>
    <w:rsid w:val="00FF6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F5672"/>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3">
    <w:name w:val="heading 3"/>
    <w:basedOn w:val="a"/>
    <w:next w:val="a"/>
    <w:link w:val="3Char"/>
    <w:uiPriority w:val="9"/>
    <w:semiHidden/>
    <w:unhideWhenUsed/>
    <w:qFormat/>
    <w:rsid w:val="007D08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285A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0F5672"/>
    <w:rPr>
      <w:rFonts w:ascii="Times New Roman" w:eastAsia="Times New Roman" w:hAnsi="Times New Roman" w:cs="Times New Roman"/>
      <w:b/>
      <w:bCs/>
      <w:color w:val="000000"/>
      <w:kern w:val="36"/>
      <w:sz w:val="33"/>
      <w:szCs w:val="33"/>
    </w:rPr>
  </w:style>
  <w:style w:type="character" w:customStyle="1" w:styleId="3Char">
    <w:name w:val="عنوان 3 Char"/>
    <w:basedOn w:val="a0"/>
    <w:link w:val="3"/>
    <w:uiPriority w:val="9"/>
    <w:semiHidden/>
    <w:rsid w:val="007D0845"/>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7D0845"/>
    <w:rPr>
      <w:color w:val="0000FF"/>
      <w:u w:val="single"/>
    </w:rPr>
  </w:style>
  <w:style w:type="paragraph" w:styleId="a4">
    <w:name w:val="Normal (Web)"/>
    <w:basedOn w:val="a"/>
    <w:uiPriority w:val="99"/>
    <w:unhideWhenUsed/>
    <w:rsid w:val="007D08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285A20"/>
    <w:rPr>
      <w:rFonts w:asciiTheme="majorHAnsi" w:eastAsiaTheme="majorEastAsia" w:hAnsiTheme="majorHAnsi" w:cstheme="majorBidi"/>
      <w:b/>
      <w:bCs/>
      <w:i/>
      <w:iCs/>
      <w:color w:val="4F81BD" w:themeColor="accent1"/>
    </w:rPr>
  </w:style>
  <w:style w:type="character" w:styleId="a5">
    <w:name w:val="Strong"/>
    <w:basedOn w:val="a0"/>
    <w:uiPriority w:val="22"/>
    <w:qFormat/>
    <w:rsid w:val="00285A20"/>
    <w:rPr>
      <w:b/>
      <w:bCs/>
    </w:rPr>
  </w:style>
  <w:style w:type="paragraph" w:customStyle="1" w:styleId="note">
    <w:name w:val="note"/>
    <w:basedOn w:val="a"/>
    <w:rsid w:val="00285A20"/>
    <w:pPr>
      <w:bidi w:val="0"/>
      <w:spacing w:before="100" w:beforeAutospacing="1" w:after="100" w:afterAutospacing="1" w:line="240" w:lineRule="auto"/>
    </w:pPr>
    <w:rPr>
      <w:rFonts w:ascii="Times New Roman" w:eastAsia="Times New Roman" w:hAnsi="Times New Roman" w:cs="Times New Roman"/>
      <w:sz w:val="17"/>
      <w:szCs w:val="17"/>
    </w:rPr>
  </w:style>
  <w:style w:type="paragraph" w:styleId="a6">
    <w:name w:val="HTML Top of Form"/>
    <w:basedOn w:val="a"/>
    <w:next w:val="a"/>
    <w:link w:val="Char"/>
    <w:hidden/>
    <w:uiPriority w:val="99"/>
    <w:semiHidden/>
    <w:unhideWhenUsed/>
    <w:rsid w:val="00285A2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6"/>
    <w:uiPriority w:val="99"/>
    <w:semiHidden/>
    <w:rsid w:val="00285A20"/>
    <w:rPr>
      <w:rFonts w:ascii="Arial" w:eastAsia="Times New Roman" w:hAnsi="Arial" w:cs="Arial"/>
      <w:vanish/>
      <w:sz w:val="16"/>
      <w:szCs w:val="16"/>
    </w:rPr>
  </w:style>
  <w:style w:type="paragraph" w:styleId="a7">
    <w:name w:val="HTML Bottom of Form"/>
    <w:basedOn w:val="a"/>
    <w:next w:val="a"/>
    <w:link w:val="Char0"/>
    <w:hidden/>
    <w:uiPriority w:val="99"/>
    <w:semiHidden/>
    <w:unhideWhenUsed/>
    <w:rsid w:val="00285A2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7"/>
    <w:uiPriority w:val="99"/>
    <w:semiHidden/>
    <w:rsid w:val="00285A20"/>
    <w:rPr>
      <w:rFonts w:ascii="Arial" w:eastAsia="Times New Roman" w:hAnsi="Arial" w:cs="Arial"/>
      <w:vanish/>
      <w:sz w:val="16"/>
      <w:szCs w:val="16"/>
    </w:rPr>
  </w:style>
  <w:style w:type="character" w:customStyle="1" w:styleId="ce-keyword">
    <w:name w:val="ce-keyword"/>
    <w:basedOn w:val="a0"/>
    <w:rsid w:val="00285A20"/>
  </w:style>
  <w:style w:type="paragraph" w:styleId="a8">
    <w:name w:val="Balloon Text"/>
    <w:basedOn w:val="a"/>
    <w:link w:val="Char1"/>
    <w:uiPriority w:val="99"/>
    <w:semiHidden/>
    <w:unhideWhenUsed/>
    <w:rsid w:val="00285A20"/>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285A20"/>
    <w:rPr>
      <w:rFonts w:ascii="Tahoma" w:hAnsi="Tahoma" w:cs="Tahoma"/>
      <w:sz w:val="16"/>
      <w:szCs w:val="16"/>
    </w:rPr>
  </w:style>
  <w:style w:type="character" w:customStyle="1" w:styleId="citation-abbreviation">
    <w:name w:val="citation-abbreviation"/>
    <w:basedOn w:val="a0"/>
    <w:rsid w:val="002F138F"/>
  </w:style>
  <w:style w:type="character" w:customStyle="1" w:styleId="citation-publication-date">
    <w:name w:val="citation-publication-date"/>
    <w:basedOn w:val="a0"/>
    <w:rsid w:val="002F138F"/>
  </w:style>
  <w:style w:type="character" w:customStyle="1" w:styleId="citation-volume">
    <w:name w:val="citation-volume"/>
    <w:basedOn w:val="a0"/>
    <w:rsid w:val="002F138F"/>
  </w:style>
  <w:style w:type="character" w:customStyle="1" w:styleId="citation-issue">
    <w:name w:val="citation-issue"/>
    <w:basedOn w:val="a0"/>
    <w:rsid w:val="002F138F"/>
  </w:style>
  <w:style w:type="character" w:customStyle="1" w:styleId="citation-flpages">
    <w:name w:val="citation-flpages"/>
    <w:basedOn w:val="a0"/>
    <w:rsid w:val="002F138F"/>
  </w:style>
  <w:style w:type="character" w:customStyle="1" w:styleId="doi1">
    <w:name w:val="doi1"/>
    <w:basedOn w:val="a0"/>
    <w:rsid w:val="002F138F"/>
  </w:style>
  <w:style w:type="character" w:customStyle="1" w:styleId="fm-citation-ids-label">
    <w:name w:val="fm-citation-ids-label"/>
    <w:basedOn w:val="a0"/>
    <w:rsid w:val="002F138F"/>
  </w:style>
  <w:style w:type="paragraph" w:styleId="a9">
    <w:name w:val="List Paragraph"/>
    <w:basedOn w:val="a"/>
    <w:uiPriority w:val="34"/>
    <w:qFormat/>
    <w:rsid w:val="00A01304"/>
    <w:pPr>
      <w:ind w:left="720"/>
      <w:contextualSpacing/>
    </w:pPr>
  </w:style>
  <w:style w:type="character" w:styleId="aa">
    <w:name w:val="Placeholder Text"/>
    <w:basedOn w:val="a0"/>
    <w:uiPriority w:val="99"/>
    <w:semiHidden/>
    <w:rsid w:val="00A31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F5672"/>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3">
    <w:name w:val="heading 3"/>
    <w:basedOn w:val="a"/>
    <w:next w:val="a"/>
    <w:link w:val="3Char"/>
    <w:uiPriority w:val="9"/>
    <w:semiHidden/>
    <w:unhideWhenUsed/>
    <w:qFormat/>
    <w:rsid w:val="007D08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285A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0F5672"/>
    <w:rPr>
      <w:rFonts w:ascii="Times New Roman" w:eastAsia="Times New Roman" w:hAnsi="Times New Roman" w:cs="Times New Roman"/>
      <w:b/>
      <w:bCs/>
      <w:color w:val="000000"/>
      <w:kern w:val="36"/>
      <w:sz w:val="33"/>
      <w:szCs w:val="33"/>
    </w:rPr>
  </w:style>
  <w:style w:type="character" w:customStyle="1" w:styleId="3Char">
    <w:name w:val="عنوان 3 Char"/>
    <w:basedOn w:val="a0"/>
    <w:link w:val="3"/>
    <w:uiPriority w:val="9"/>
    <w:semiHidden/>
    <w:rsid w:val="007D0845"/>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7D0845"/>
    <w:rPr>
      <w:color w:val="0000FF"/>
      <w:u w:val="single"/>
    </w:rPr>
  </w:style>
  <w:style w:type="paragraph" w:styleId="a4">
    <w:name w:val="Normal (Web)"/>
    <w:basedOn w:val="a"/>
    <w:uiPriority w:val="99"/>
    <w:unhideWhenUsed/>
    <w:rsid w:val="007D08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285A20"/>
    <w:rPr>
      <w:rFonts w:asciiTheme="majorHAnsi" w:eastAsiaTheme="majorEastAsia" w:hAnsiTheme="majorHAnsi" w:cstheme="majorBidi"/>
      <w:b/>
      <w:bCs/>
      <w:i/>
      <w:iCs/>
      <w:color w:val="4F81BD" w:themeColor="accent1"/>
    </w:rPr>
  </w:style>
  <w:style w:type="character" w:styleId="a5">
    <w:name w:val="Strong"/>
    <w:basedOn w:val="a0"/>
    <w:uiPriority w:val="22"/>
    <w:qFormat/>
    <w:rsid w:val="00285A20"/>
    <w:rPr>
      <w:b/>
      <w:bCs/>
    </w:rPr>
  </w:style>
  <w:style w:type="paragraph" w:customStyle="1" w:styleId="note">
    <w:name w:val="note"/>
    <w:basedOn w:val="a"/>
    <w:rsid w:val="00285A20"/>
    <w:pPr>
      <w:bidi w:val="0"/>
      <w:spacing w:before="100" w:beforeAutospacing="1" w:after="100" w:afterAutospacing="1" w:line="240" w:lineRule="auto"/>
    </w:pPr>
    <w:rPr>
      <w:rFonts w:ascii="Times New Roman" w:eastAsia="Times New Roman" w:hAnsi="Times New Roman" w:cs="Times New Roman"/>
      <w:sz w:val="17"/>
      <w:szCs w:val="17"/>
    </w:rPr>
  </w:style>
  <w:style w:type="paragraph" w:styleId="a6">
    <w:name w:val="HTML Top of Form"/>
    <w:basedOn w:val="a"/>
    <w:next w:val="a"/>
    <w:link w:val="Char"/>
    <w:hidden/>
    <w:uiPriority w:val="99"/>
    <w:semiHidden/>
    <w:unhideWhenUsed/>
    <w:rsid w:val="00285A2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6"/>
    <w:uiPriority w:val="99"/>
    <w:semiHidden/>
    <w:rsid w:val="00285A20"/>
    <w:rPr>
      <w:rFonts w:ascii="Arial" w:eastAsia="Times New Roman" w:hAnsi="Arial" w:cs="Arial"/>
      <w:vanish/>
      <w:sz w:val="16"/>
      <w:szCs w:val="16"/>
    </w:rPr>
  </w:style>
  <w:style w:type="paragraph" w:styleId="a7">
    <w:name w:val="HTML Bottom of Form"/>
    <w:basedOn w:val="a"/>
    <w:next w:val="a"/>
    <w:link w:val="Char0"/>
    <w:hidden/>
    <w:uiPriority w:val="99"/>
    <w:semiHidden/>
    <w:unhideWhenUsed/>
    <w:rsid w:val="00285A2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7"/>
    <w:uiPriority w:val="99"/>
    <w:semiHidden/>
    <w:rsid w:val="00285A20"/>
    <w:rPr>
      <w:rFonts w:ascii="Arial" w:eastAsia="Times New Roman" w:hAnsi="Arial" w:cs="Arial"/>
      <w:vanish/>
      <w:sz w:val="16"/>
      <w:szCs w:val="16"/>
    </w:rPr>
  </w:style>
  <w:style w:type="character" w:customStyle="1" w:styleId="ce-keyword">
    <w:name w:val="ce-keyword"/>
    <w:basedOn w:val="a0"/>
    <w:rsid w:val="00285A20"/>
  </w:style>
  <w:style w:type="paragraph" w:styleId="a8">
    <w:name w:val="Balloon Text"/>
    <w:basedOn w:val="a"/>
    <w:link w:val="Char1"/>
    <w:uiPriority w:val="99"/>
    <w:semiHidden/>
    <w:unhideWhenUsed/>
    <w:rsid w:val="00285A20"/>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285A20"/>
    <w:rPr>
      <w:rFonts w:ascii="Tahoma" w:hAnsi="Tahoma" w:cs="Tahoma"/>
      <w:sz w:val="16"/>
      <w:szCs w:val="16"/>
    </w:rPr>
  </w:style>
  <w:style w:type="character" w:customStyle="1" w:styleId="citation-abbreviation">
    <w:name w:val="citation-abbreviation"/>
    <w:basedOn w:val="a0"/>
    <w:rsid w:val="002F138F"/>
  </w:style>
  <w:style w:type="character" w:customStyle="1" w:styleId="citation-publication-date">
    <w:name w:val="citation-publication-date"/>
    <w:basedOn w:val="a0"/>
    <w:rsid w:val="002F138F"/>
  </w:style>
  <w:style w:type="character" w:customStyle="1" w:styleId="citation-volume">
    <w:name w:val="citation-volume"/>
    <w:basedOn w:val="a0"/>
    <w:rsid w:val="002F138F"/>
  </w:style>
  <w:style w:type="character" w:customStyle="1" w:styleId="citation-issue">
    <w:name w:val="citation-issue"/>
    <w:basedOn w:val="a0"/>
    <w:rsid w:val="002F138F"/>
  </w:style>
  <w:style w:type="character" w:customStyle="1" w:styleId="citation-flpages">
    <w:name w:val="citation-flpages"/>
    <w:basedOn w:val="a0"/>
    <w:rsid w:val="002F138F"/>
  </w:style>
  <w:style w:type="character" w:customStyle="1" w:styleId="doi1">
    <w:name w:val="doi1"/>
    <w:basedOn w:val="a0"/>
    <w:rsid w:val="002F138F"/>
  </w:style>
  <w:style w:type="character" w:customStyle="1" w:styleId="fm-citation-ids-label">
    <w:name w:val="fm-citation-ids-label"/>
    <w:basedOn w:val="a0"/>
    <w:rsid w:val="002F138F"/>
  </w:style>
  <w:style w:type="paragraph" w:styleId="a9">
    <w:name w:val="List Paragraph"/>
    <w:basedOn w:val="a"/>
    <w:uiPriority w:val="34"/>
    <w:qFormat/>
    <w:rsid w:val="00A01304"/>
    <w:pPr>
      <w:ind w:left="720"/>
      <w:contextualSpacing/>
    </w:pPr>
  </w:style>
  <w:style w:type="character" w:styleId="aa">
    <w:name w:val="Placeholder Text"/>
    <w:basedOn w:val="a0"/>
    <w:uiPriority w:val="99"/>
    <w:semiHidden/>
    <w:rsid w:val="00A31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61802">
      <w:bodyDiv w:val="1"/>
      <w:marLeft w:val="0"/>
      <w:marRight w:val="0"/>
      <w:marTop w:val="0"/>
      <w:marBottom w:val="0"/>
      <w:divBdr>
        <w:top w:val="none" w:sz="0" w:space="0" w:color="auto"/>
        <w:left w:val="none" w:sz="0" w:space="0" w:color="auto"/>
        <w:bottom w:val="none" w:sz="0" w:space="0" w:color="auto"/>
        <w:right w:val="none" w:sz="0" w:space="0" w:color="auto"/>
      </w:divBdr>
      <w:divsChild>
        <w:div w:id="448745465">
          <w:marLeft w:val="0"/>
          <w:marRight w:val="0"/>
          <w:marTop w:val="0"/>
          <w:marBottom w:val="0"/>
          <w:divBdr>
            <w:top w:val="none" w:sz="0" w:space="0" w:color="auto"/>
            <w:left w:val="none" w:sz="0" w:space="0" w:color="auto"/>
            <w:bottom w:val="none" w:sz="0" w:space="0" w:color="auto"/>
            <w:right w:val="none" w:sz="0" w:space="0" w:color="auto"/>
          </w:divBdr>
          <w:divsChild>
            <w:div w:id="2029596065">
              <w:marLeft w:val="0"/>
              <w:marRight w:val="0"/>
              <w:marTop w:val="313"/>
              <w:marBottom w:val="0"/>
              <w:divBdr>
                <w:top w:val="none" w:sz="0" w:space="0" w:color="auto"/>
                <w:left w:val="none" w:sz="0" w:space="0" w:color="auto"/>
                <w:bottom w:val="none" w:sz="0" w:space="0" w:color="auto"/>
                <w:right w:val="none" w:sz="0" w:space="0" w:color="auto"/>
              </w:divBdr>
              <w:divsChild>
                <w:div w:id="462115295">
                  <w:marLeft w:val="157"/>
                  <w:marRight w:val="157"/>
                  <w:marTop w:val="0"/>
                  <w:marBottom w:val="0"/>
                  <w:divBdr>
                    <w:top w:val="none" w:sz="0" w:space="0" w:color="auto"/>
                    <w:left w:val="none" w:sz="0" w:space="0" w:color="auto"/>
                    <w:bottom w:val="none" w:sz="0" w:space="0" w:color="auto"/>
                    <w:right w:val="none" w:sz="0" w:space="0" w:color="auto"/>
                  </w:divBdr>
                  <w:divsChild>
                    <w:div w:id="1129668398">
                      <w:marLeft w:val="0"/>
                      <w:marRight w:val="0"/>
                      <w:marTop w:val="0"/>
                      <w:marBottom w:val="157"/>
                      <w:divBdr>
                        <w:top w:val="single" w:sz="2" w:space="8" w:color="B3B3B3"/>
                        <w:left w:val="single" w:sz="6" w:space="8" w:color="B3B3B3"/>
                        <w:bottom w:val="single" w:sz="6" w:space="4" w:color="B3B3B3"/>
                        <w:right w:val="single" w:sz="6" w:space="8" w:color="B3B3B3"/>
                      </w:divBdr>
                      <w:divsChild>
                        <w:div w:id="894464083">
                          <w:marLeft w:val="0"/>
                          <w:marRight w:val="0"/>
                          <w:marTop w:val="0"/>
                          <w:marBottom w:val="0"/>
                          <w:divBdr>
                            <w:top w:val="none" w:sz="0" w:space="0" w:color="auto"/>
                            <w:left w:val="none" w:sz="0" w:space="0" w:color="auto"/>
                            <w:bottom w:val="single" w:sz="6" w:space="0" w:color="CCCCCC"/>
                            <w:right w:val="none" w:sz="0" w:space="0" w:color="auto"/>
                          </w:divBdr>
                        </w:div>
                      </w:divsChild>
                    </w:div>
                    <w:div w:id="1183519183">
                      <w:marLeft w:val="0"/>
                      <w:marRight w:val="0"/>
                      <w:marTop w:val="0"/>
                      <w:marBottom w:val="219"/>
                      <w:divBdr>
                        <w:top w:val="single" w:sz="6" w:space="0" w:color="E6E6E6"/>
                        <w:left w:val="single" w:sz="6" w:space="0" w:color="E6E6E6"/>
                        <w:bottom w:val="single" w:sz="6" w:space="0" w:color="E6E6E6"/>
                        <w:right w:val="single" w:sz="6" w:space="0" w:color="E6E6E6"/>
                      </w:divBdr>
                      <w:divsChild>
                        <w:div w:id="1799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72948">
      <w:bodyDiv w:val="1"/>
      <w:marLeft w:val="0"/>
      <w:marRight w:val="0"/>
      <w:marTop w:val="0"/>
      <w:marBottom w:val="0"/>
      <w:divBdr>
        <w:top w:val="none" w:sz="0" w:space="0" w:color="auto"/>
        <w:left w:val="none" w:sz="0" w:space="0" w:color="auto"/>
        <w:bottom w:val="none" w:sz="0" w:space="0" w:color="auto"/>
        <w:right w:val="none" w:sz="0" w:space="0" w:color="auto"/>
      </w:divBdr>
      <w:divsChild>
        <w:div w:id="1324695758">
          <w:marLeft w:val="0"/>
          <w:marRight w:val="0"/>
          <w:marTop w:val="0"/>
          <w:marBottom w:val="0"/>
          <w:divBdr>
            <w:top w:val="none" w:sz="0" w:space="0" w:color="auto"/>
            <w:left w:val="none" w:sz="0" w:space="0" w:color="auto"/>
            <w:bottom w:val="none" w:sz="0" w:space="0" w:color="auto"/>
            <w:right w:val="none" w:sz="0" w:space="0" w:color="auto"/>
          </w:divBdr>
        </w:div>
      </w:divsChild>
    </w:div>
    <w:div w:id="1152062443">
      <w:bodyDiv w:val="1"/>
      <w:marLeft w:val="0"/>
      <w:marRight w:val="0"/>
      <w:marTop w:val="0"/>
      <w:marBottom w:val="0"/>
      <w:divBdr>
        <w:top w:val="none" w:sz="0" w:space="0" w:color="auto"/>
        <w:left w:val="none" w:sz="0" w:space="0" w:color="auto"/>
        <w:bottom w:val="none" w:sz="0" w:space="0" w:color="auto"/>
        <w:right w:val="none" w:sz="0" w:space="0" w:color="auto"/>
      </w:divBdr>
      <w:divsChild>
        <w:div w:id="859971615">
          <w:marLeft w:val="0"/>
          <w:marRight w:val="0"/>
          <w:marTop w:val="0"/>
          <w:marBottom w:val="0"/>
          <w:divBdr>
            <w:top w:val="none" w:sz="0" w:space="0" w:color="auto"/>
            <w:left w:val="none" w:sz="0" w:space="0" w:color="auto"/>
            <w:bottom w:val="none" w:sz="0" w:space="0" w:color="auto"/>
            <w:right w:val="none" w:sz="0" w:space="0" w:color="auto"/>
          </w:divBdr>
          <w:divsChild>
            <w:div w:id="81147492">
              <w:marLeft w:val="0"/>
              <w:marRight w:val="0"/>
              <w:marTop w:val="0"/>
              <w:marBottom w:val="0"/>
              <w:divBdr>
                <w:top w:val="none" w:sz="0" w:space="0" w:color="auto"/>
                <w:left w:val="none" w:sz="0" w:space="0" w:color="auto"/>
                <w:bottom w:val="none" w:sz="0" w:space="0" w:color="auto"/>
                <w:right w:val="none" w:sz="0" w:space="0" w:color="auto"/>
              </w:divBdr>
              <w:divsChild>
                <w:div w:id="2052489061">
                  <w:marLeft w:val="0"/>
                  <w:marRight w:val="0"/>
                  <w:marTop w:val="0"/>
                  <w:marBottom w:val="0"/>
                  <w:divBdr>
                    <w:top w:val="none" w:sz="0" w:space="0" w:color="auto"/>
                    <w:left w:val="none" w:sz="0" w:space="0" w:color="auto"/>
                    <w:bottom w:val="none" w:sz="0" w:space="0" w:color="auto"/>
                    <w:right w:val="none" w:sz="0" w:space="0" w:color="auto"/>
                  </w:divBdr>
                  <w:divsChild>
                    <w:div w:id="1297174490">
                      <w:marLeft w:val="0"/>
                      <w:marRight w:val="0"/>
                      <w:marTop w:val="0"/>
                      <w:marBottom w:val="0"/>
                      <w:divBdr>
                        <w:top w:val="none" w:sz="0" w:space="0" w:color="auto"/>
                        <w:left w:val="none" w:sz="0" w:space="0" w:color="auto"/>
                        <w:bottom w:val="none" w:sz="0" w:space="0" w:color="auto"/>
                        <w:right w:val="none" w:sz="0" w:space="0" w:color="auto"/>
                      </w:divBdr>
                      <w:divsChild>
                        <w:div w:id="2031955913">
                          <w:marLeft w:val="0"/>
                          <w:marRight w:val="0"/>
                          <w:marTop w:val="0"/>
                          <w:marBottom w:val="0"/>
                          <w:divBdr>
                            <w:top w:val="none" w:sz="0" w:space="0" w:color="auto"/>
                            <w:left w:val="none" w:sz="0" w:space="0" w:color="auto"/>
                            <w:bottom w:val="none" w:sz="0" w:space="0" w:color="auto"/>
                            <w:right w:val="none" w:sz="0" w:space="0" w:color="auto"/>
                          </w:divBdr>
                          <w:divsChild>
                            <w:div w:id="224343624">
                              <w:marLeft w:val="0"/>
                              <w:marRight w:val="0"/>
                              <w:marTop w:val="0"/>
                              <w:marBottom w:val="0"/>
                              <w:divBdr>
                                <w:top w:val="none" w:sz="0" w:space="0" w:color="auto"/>
                                <w:left w:val="none" w:sz="0" w:space="0" w:color="auto"/>
                                <w:bottom w:val="none" w:sz="0" w:space="0" w:color="auto"/>
                                <w:right w:val="none" w:sz="0" w:space="0" w:color="auto"/>
                              </w:divBdr>
                              <w:divsChild>
                                <w:div w:id="872421595">
                                  <w:marLeft w:val="0"/>
                                  <w:marRight w:val="0"/>
                                  <w:marTop w:val="0"/>
                                  <w:marBottom w:val="0"/>
                                  <w:divBdr>
                                    <w:top w:val="none" w:sz="0" w:space="0" w:color="auto"/>
                                    <w:left w:val="none" w:sz="0" w:space="0" w:color="auto"/>
                                    <w:bottom w:val="none" w:sz="0" w:space="0" w:color="auto"/>
                                    <w:right w:val="none" w:sz="0" w:space="0" w:color="auto"/>
                                  </w:divBdr>
                                  <w:divsChild>
                                    <w:div w:id="549459464">
                                      <w:marLeft w:val="0"/>
                                      <w:marRight w:val="0"/>
                                      <w:marTop w:val="0"/>
                                      <w:marBottom w:val="0"/>
                                      <w:divBdr>
                                        <w:top w:val="none" w:sz="0" w:space="0" w:color="auto"/>
                                        <w:left w:val="none" w:sz="0" w:space="0" w:color="auto"/>
                                        <w:bottom w:val="none" w:sz="0" w:space="0" w:color="auto"/>
                                        <w:right w:val="none" w:sz="0" w:space="0" w:color="auto"/>
                                      </w:divBdr>
                                      <w:divsChild>
                                        <w:div w:id="1651053754">
                                          <w:marLeft w:val="0"/>
                                          <w:marRight w:val="0"/>
                                          <w:marTop w:val="0"/>
                                          <w:marBottom w:val="0"/>
                                          <w:divBdr>
                                            <w:top w:val="none" w:sz="0" w:space="0" w:color="auto"/>
                                            <w:left w:val="none" w:sz="0" w:space="0" w:color="auto"/>
                                            <w:bottom w:val="none" w:sz="0" w:space="0" w:color="auto"/>
                                            <w:right w:val="none" w:sz="0" w:space="0" w:color="auto"/>
                                          </w:divBdr>
                                          <w:divsChild>
                                            <w:div w:id="1529492092">
                                              <w:marLeft w:val="0"/>
                                              <w:marRight w:val="0"/>
                                              <w:marTop w:val="0"/>
                                              <w:marBottom w:val="0"/>
                                              <w:divBdr>
                                                <w:top w:val="none" w:sz="0" w:space="0" w:color="auto"/>
                                                <w:left w:val="none" w:sz="0" w:space="0" w:color="auto"/>
                                                <w:bottom w:val="none" w:sz="0" w:space="0" w:color="auto"/>
                                                <w:right w:val="none" w:sz="0" w:space="0" w:color="auto"/>
                                              </w:divBdr>
                                              <w:divsChild>
                                                <w:div w:id="1662847379">
                                                  <w:marLeft w:val="0"/>
                                                  <w:marRight w:val="0"/>
                                                  <w:marTop w:val="0"/>
                                                  <w:marBottom w:val="0"/>
                                                  <w:divBdr>
                                                    <w:top w:val="none" w:sz="0" w:space="0" w:color="auto"/>
                                                    <w:left w:val="none" w:sz="0" w:space="0" w:color="auto"/>
                                                    <w:bottom w:val="none" w:sz="0" w:space="0" w:color="auto"/>
                                                    <w:right w:val="none" w:sz="0" w:space="0" w:color="auto"/>
                                                  </w:divBdr>
                                                  <w:divsChild>
                                                    <w:div w:id="7213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3465">
                                              <w:marLeft w:val="0"/>
                                              <w:marRight w:val="0"/>
                                              <w:marTop w:val="0"/>
                                              <w:marBottom w:val="0"/>
                                              <w:divBdr>
                                                <w:top w:val="none" w:sz="0" w:space="0" w:color="auto"/>
                                                <w:left w:val="none" w:sz="0" w:space="0" w:color="auto"/>
                                                <w:bottom w:val="none" w:sz="0" w:space="0" w:color="auto"/>
                                                <w:right w:val="none" w:sz="0" w:space="0" w:color="auto"/>
                                              </w:divBdr>
                                              <w:divsChild>
                                                <w:div w:id="1288967856">
                                                  <w:marLeft w:val="0"/>
                                                  <w:marRight w:val="0"/>
                                                  <w:marTop w:val="0"/>
                                                  <w:marBottom w:val="0"/>
                                                  <w:divBdr>
                                                    <w:top w:val="none" w:sz="0" w:space="0" w:color="auto"/>
                                                    <w:left w:val="none" w:sz="0" w:space="0" w:color="auto"/>
                                                    <w:bottom w:val="none" w:sz="0" w:space="0" w:color="auto"/>
                                                    <w:right w:val="none" w:sz="0" w:space="0" w:color="auto"/>
                                                  </w:divBdr>
                                                  <w:divsChild>
                                                    <w:div w:id="452093730">
                                                      <w:marLeft w:val="0"/>
                                                      <w:marRight w:val="0"/>
                                                      <w:marTop w:val="0"/>
                                                      <w:marBottom w:val="0"/>
                                                      <w:divBdr>
                                                        <w:top w:val="none" w:sz="0" w:space="0" w:color="auto"/>
                                                        <w:left w:val="none" w:sz="0" w:space="0" w:color="auto"/>
                                                        <w:bottom w:val="none" w:sz="0" w:space="0" w:color="auto"/>
                                                        <w:right w:val="none" w:sz="0" w:space="0" w:color="auto"/>
                                                      </w:divBdr>
                                                    </w:div>
                                                    <w:div w:id="5077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3467">
                                      <w:marLeft w:val="0"/>
                                      <w:marRight w:val="0"/>
                                      <w:marTop w:val="0"/>
                                      <w:marBottom w:val="0"/>
                                      <w:divBdr>
                                        <w:top w:val="none" w:sz="0" w:space="0" w:color="auto"/>
                                        <w:left w:val="none" w:sz="0" w:space="0" w:color="auto"/>
                                        <w:bottom w:val="none" w:sz="0" w:space="0" w:color="auto"/>
                                        <w:right w:val="none" w:sz="0" w:space="0" w:color="auto"/>
                                      </w:divBdr>
                                      <w:divsChild>
                                        <w:div w:id="7716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80358">
      <w:bodyDiv w:val="1"/>
      <w:marLeft w:val="0"/>
      <w:marRight w:val="0"/>
      <w:marTop w:val="0"/>
      <w:marBottom w:val="0"/>
      <w:divBdr>
        <w:top w:val="none" w:sz="0" w:space="0" w:color="auto"/>
        <w:left w:val="none" w:sz="0" w:space="0" w:color="auto"/>
        <w:bottom w:val="none" w:sz="0" w:space="0" w:color="auto"/>
        <w:right w:val="none" w:sz="0" w:space="0" w:color="auto"/>
      </w:divBdr>
    </w:div>
    <w:div w:id="1647851707">
      <w:bodyDiv w:val="1"/>
      <w:marLeft w:val="0"/>
      <w:marRight w:val="0"/>
      <w:marTop w:val="0"/>
      <w:marBottom w:val="0"/>
      <w:divBdr>
        <w:top w:val="none" w:sz="0" w:space="0" w:color="auto"/>
        <w:left w:val="none" w:sz="0" w:space="0" w:color="auto"/>
        <w:bottom w:val="none" w:sz="0" w:space="0" w:color="auto"/>
        <w:right w:val="none" w:sz="0" w:space="0" w:color="auto"/>
      </w:divBdr>
      <w:divsChild>
        <w:div w:id="355349670">
          <w:marLeft w:val="0"/>
          <w:marRight w:val="1"/>
          <w:marTop w:val="0"/>
          <w:marBottom w:val="0"/>
          <w:divBdr>
            <w:top w:val="none" w:sz="0" w:space="0" w:color="auto"/>
            <w:left w:val="none" w:sz="0" w:space="0" w:color="auto"/>
            <w:bottom w:val="none" w:sz="0" w:space="0" w:color="auto"/>
            <w:right w:val="none" w:sz="0" w:space="0" w:color="auto"/>
          </w:divBdr>
          <w:divsChild>
            <w:div w:id="2089837512">
              <w:marLeft w:val="0"/>
              <w:marRight w:val="0"/>
              <w:marTop w:val="0"/>
              <w:marBottom w:val="0"/>
              <w:divBdr>
                <w:top w:val="none" w:sz="0" w:space="0" w:color="auto"/>
                <w:left w:val="none" w:sz="0" w:space="0" w:color="auto"/>
                <w:bottom w:val="none" w:sz="0" w:space="0" w:color="auto"/>
                <w:right w:val="none" w:sz="0" w:space="0" w:color="auto"/>
              </w:divBdr>
              <w:divsChild>
                <w:div w:id="1330448735">
                  <w:marLeft w:val="0"/>
                  <w:marRight w:val="1"/>
                  <w:marTop w:val="0"/>
                  <w:marBottom w:val="0"/>
                  <w:divBdr>
                    <w:top w:val="none" w:sz="0" w:space="0" w:color="auto"/>
                    <w:left w:val="none" w:sz="0" w:space="0" w:color="auto"/>
                    <w:bottom w:val="none" w:sz="0" w:space="0" w:color="auto"/>
                    <w:right w:val="none" w:sz="0" w:space="0" w:color="auto"/>
                  </w:divBdr>
                  <w:divsChild>
                    <w:div w:id="2977235">
                      <w:marLeft w:val="0"/>
                      <w:marRight w:val="0"/>
                      <w:marTop w:val="0"/>
                      <w:marBottom w:val="0"/>
                      <w:divBdr>
                        <w:top w:val="none" w:sz="0" w:space="0" w:color="auto"/>
                        <w:left w:val="none" w:sz="0" w:space="0" w:color="auto"/>
                        <w:bottom w:val="none" w:sz="0" w:space="0" w:color="auto"/>
                        <w:right w:val="none" w:sz="0" w:space="0" w:color="auto"/>
                      </w:divBdr>
                      <w:divsChild>
                        <w:div w:id="493301249">
                          <w:marLeft w:val="0"/>
                          <w:marRight w:val="0"/>
                          <w:marTop w:val="0"/>
                          <w:marBottom w:val="0"/>
                          <w:divBdr>
                            <w:top w:val="none" w:sz="0" w:space="0" w:color="auto"/>
                            <w:left w:val="none" w:sz="0" w:space="0" w:color="auto"/>
                            <w:bottom w:val="none" w:sz="0" w:space="0" w:color="auto"/>
                            <w:right w:val="none" w:sz="0" w:space="0" w:color="auto"/>
                          </w:divBdr>
                          <w:divsChild>
                            <w:div w:id="1094743496">
                              <w:marLeft w:val="0"/>
                              <w:marRight w:val="0"/>
                              <w:marTop w:val="120"/>
                              <w:marBottom w:val="360"/>
                              <w:divBdr>
                                <w:top w:val="none" w:sz="0" w:space="0" w:color="auto"/>
                                <w:left w:val="none" w:sz="0" w:space="0" w:color="auto"/>
                                <w:bottom w:val="none" w:sz="0" w:space="0" w:color="auto"/>
                                <w:right w:val="none" w:sz="0" w:space="0" w:color="auto"/>
                              </w:divBdr>
                              <w:divsChild>
                                <w:div w:id="58673376">
                                  <w:marLeft w:val="0"/>
                                  <w:marRight w:val="0"/>
                                  <w:marTop w:val="0"/>
                                  <w:marBottom w:val="0"/>
                                  <w:divBdr>
                                    <w:top w:val="none" w:sz="0" w:space="0" w:color="auto"/>
                                    <w:left w:val="none" w:sz="0" w:space="0" w:color="auto"/>
                                    <w:bottom w:val="none" w:sz="0" w:space="0" w:color="auto"/>
                                    <w:right w:val="none" w:sz="0" w:space="0" w:color="auto"/>
                                  </w:divBdr>
                                </w:div>
                                <w:div w:id="12813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844714">
      <w:bodyDiv w:val="1"/>
      <w:marLeft w:val="0"/>
      <w:marRight w:val="0"/>
      <w:marTop w:val="0"/>
      <w:marBottom w:val="0"/>
      <w:divBdr>
        <w:top w:val="none" w:sz="0" w:space="0" w:color="auto"/>
        <w:left w:val="none" w:sz="0" w:space="0" w:color="auto"/>
        <w:bottom w:val="none" w:sz="0" w:space="0" w:color="auto"/>
        <w:right w:val="none" w:sz="0" w:space="0" w:color="auto"/>
      </w:divBdr>
      <w:divsChild>
        <w:div w:id="1480540130">
          <w:marLeft w:val="0"/>
          <w:marRight w:val="0"/>
          <w:marTop w:val="0"/>
          <w:marBottom w:val="0"/>
          <w:divBdr>
            <w:top w:val="none" w:sz="0" w:space="0" w:color="auto"/>
            <w:left w:val="none" w:sz="0" w:space="0" w:color="auto"/>
            <w:bottom w:val="none" w:sz="0" w:space="0" w:color="auto"/>
            <w:right w:val="none" w:sz="0" w:space="0" w:color="auto"/>
          </w:divBdr>
          <w:divsChild>
            <w:div w:id="1208296139">
              <w:marLeft w:val="0"/>
              <w:marRight w:val="0"/>
              <w:marTop w:val="0"/>
              <w:marBottom w:val="0"/>
              <w:divBdr>
                <w:top w:val="none" w:sz="0" w:space="0" w:color="auto"/>
                <w:left w:val="none" w:sz="0" w:space="0" w:color="auto"/>
                <w:bottom w:val="none" w:sz="0" w:space="0" w:color="auto"/>
                <w:right w:val="none" w:sz="0" w:space="0" w:color="auto"/>
              </w:divBdr>
              <w:divsChild>
                <w:div w:id="1814181166">
                  <w:marLeft w:val="0"/>
                  <w:marRight w:val="0"/>
                  <w:marTop w:val="0"/>
                  <w:marBottom w:val="0"/>
                  <w:divBdr>
                    <w:top w:val="none" w:sz="0" w:space="0" w:color="auto"/>
                    <w:left w:val="none" w:sz="0" w:space="0" w:color="auto"/>
                    <w:bottom w:val="none" w:sz="0" w:space="0" w:color="auto"/>
                    <w:right w:val="none" w:sz="0" w:space="0" w:color="auto"/>
                  </w:divBdr>
                  <w:divsChild>
                    <w:div w:id="1631862321">
                      <w:marLeft w:val="0"/>
                      <w:marRight w:val="0"/>
                      <w:marTop w:val="0"/>
                      <w:marBottom w:val="0"/>
                      <w:divBdr>
                        <w:top w:val="none" w:sz="0" w:space="0" w:color="auto"/>
                        <w:left w:val="none" w:sz="0" w:space="0" w:color="auto"/>
                        <w:bottom w:val="none" w:sz="0" w:space="0" w:color="auto"/>
                        <w:right w:val="none" w:sz="0" w:space="0" w:color="auto"/>
                      </w:divBdr>
                      <w:divsChild>
                        <w:div w:id="475492526">
                          <w:marLeft w:val="0"/>
                          <w:marRight w:val="0"/>
                          <w:marTop w:val="0"/>
                          <w:marBottom w:val="0"/>
                          <w:divBdr>
                            <w:top w:val="none" w:sz="0" w:space="0" w:color="auto"/>
                            <w:left w:val="none" w:sz="0" w:space="0" w:color="auto"/>
                            <w:bottom w:val="none" w:sz="0" w:space="0" w:color="auto"/>
                            <w:right w:val="none" w:sz="0" w:space="0" w:color="auto"/>
                          </w:divBdr>
                          <w:divsChild>
                            <w:div w:id="1915357185">
                              <w:marLeft w:val="0"/>
                              <w:marRight w:val="0"/>
                              <w:marTop w:val="0"/>
                              <w:marBottom w:val="0"/>
                              <w:divBdr>
                                <w:top w:val="none" w:sz="0" w:space="0" w:color="auto"/>
                                <w:left w:val="none" w:sz="0" w:space="0" w:color="auto"/>
                                <w:bottom w:val="none" w:sz="0" w:space="0" w:color="auto"/>
                                <w:right w:val="none" w:sz="0" w:space="0" w:color="auto"/>
                              </w:divBdr>
                              <w:divsChild>
                                <w:div w:id="99301766">
                                  <w:marLeft w:val="0"/>
                                  <w:marRight w:val="0"/>
                                  <w:marTop w:val="0"/>
                                  <w:marBottom w:val="0"/>
                                  <w:divBdr>
                                    <w:top w:val="none" w:sz="0" w:space="0" w:color="auto"/>
                                    <w:left w:val="none" w:sz="0" w:space="0" w:color="auto"/>
                                    <w:bottom w:val="none" w:sz="0" w:space="0" w:color="auto"/>
                                    <w:right w:val="none" w:sz="0" w:space="0" w:color="auto"/>
                                  </w:divBdr>
                                  <w:divsChild>
                                    <w:div w:id="1510871141">
                                      <w:marLeft w:val="0"/>
                                      <w:marRight w:val="0"/>
                                      <w:marTop w:val="0"/>
                                      <w:marBottom w:val="0"/>
                                      <w:divBdr>
                                        <w:top w:val="none" w:sz="0" w:space="0" w:color="auto"/>
                                        <w:left w:val="none" w:sz="0" w:space="0" w:color="auto"/>
                                        <w:bottom w:val="none" w:sz="0" w:space="0" w:color="auto"/>
                                        <w:right w:val="none" w:sz="0" w:space="0" w:color="auto"/>
                                      </w:divBdr>
                                    </w:div>
                                    <w:div w:id="1732658413">
                                      <w:marLeft w:val="0"/>
                                      <w:marRight w:val="0"/>
                                      <w:marTop w:val="0"/>
                                      <w:marBottom w:val="0"/>
                                      <w:divBdr>
                                        <w:top w:val="none" w:sz="0" w:space="0" w:color="auto"/>
                                        <w:left w:val="none" w:sz="0" w:space="0" w:color="auto"/>
                                        <w:bottom w:val="none" w:sz="0" w:space="0" w:color="auto"/>
                                        <w:right w:val="none" w:sz="0" w:space="0" w:color="auto"/>
                                      </w:divBdr>
                                    </w:div>
                                    <w:div w:id="1833719857">
                                      <w:marLeft w:val="0"/>
                                      <w:marRight w:val="0"/>
                                      <w:marTop w:val="0"/>
                                      <w:marBottom w:val="0"/>
                                      <w:divBdr>
                                        <w:top w:val="none" w:sz="0" w:space="0" w:color="auto"/>
                                        <w:left w:val="none" w:sz="0" w:space="0" w:color="auto"/>
                                        <w:bottom w:val="none" w:sz="0" w:space="0" w:color="auto"/>
                                        <w:right w:val="none" w:sz="0" w:space="0" w:color="auto"/>
                                      </w:divBdr>
                                    </w:div>
                                    <w:div w:id="19931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nutritional%20status%20of%20patients%20admitted%20during%20Hajj%20season%20in%20Makkah%20and%20relation%20to%20HLOS\nutrition%20master%20sheet%2028%2012%201433%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nutritional%20status%20of%20patients%20admitted%20during%20Hajj%20season%20in%20Makkah%20and%20relation%20to%20HLOS\nutrition%20master%20sheet%2028%2012%201433%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nutritional%20status%20of%20patients%20admitted%20during%20Hajj%20season%20in%20Makkah%20and%20relation%20to%20HLOS\nutrition%20master%20sheet%2028%2012%201433%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nutritional%20status%20of%20patients%20admitted%20during%20Hajj%20season%20in%20Makkah%20and%20relation%20to%20HLOS\nutrition%20master%20sheet%2028%2012%201433%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0185067526416036E-16"/>
                  <c:y val="-7.3461891643709833E-3"/>
                </c:manualLayout>
              </c:layout>
              <c:tx>
                <c:rich>
                  <a:bodyPr/>
                  <a:lstStyle/>
                  <a:p>
                    <a:r>
                      <a:rPr lang="en-US"/>
                      <a:t>94 pt</a:t>
                    </a:r>
                  </a:p>
                  <a:p>
                    <a:r>
                      <a:rPr lang="en-US"/>
                      <a:t>57.7%</a:t>
                    </a:r>
                  </a:p>
                </c:rich>
              </c:tx>
              <c:showLegendKey val="0"/>
              <c:showVal val="1"/>
              <c:showCatName val="0"/>
              <c:showSerName val="0"/>
              <c:showPercent val="0"/>
              <c:showBubbleSize val="0"/>
            </c:dLbl>
            <c:dLbl>
              <c:idx val="1"/>
              <c:tx>
                <c:rich>
                  <a:bodyPr/>
                  <a:lstStyle/>
                  <a:p>
                    <a:r>
                      <a:rPr lang="en-US"/>
                      <a:t>69</a:t>
                    </a:r>
                  </a:p>
                  <a:p>
                    <a:r>
                      <a:rPr lang="en-US"/>
                      <a:t>42.3%</a:t>
                    </a:r>
                  </a:p>
                </c:rich>
              </c:tx>
              <c:showLegendKey val="0"/>
              <c:showVal val="1"/>
              <c:showCatName val="0"/>
              <c:showSerName val="0"/>
              <c:showPercent val="0"/>
              <c:showBubbleSize val="0"/>
            </c:dLbl>
            <c:dLbl>
              <c:idx val="3"/>
              <c:layout>
                <c:manualLayout>
                  <c:x val="0"/>
                  <c:y val="-3.3057851239669422E-2"/>
                </c:manualLayout>
              </c:layout>
              <c:tx>
                <c:rich>
                  <a:bodyPr/>
                  <a:lstStyle/>
                  <a:p>
                    <a:r>
                      <a:rPr lang="en-US"/>
                      <a:t>78</a:t>
                    </a:r>
                  </a:p>
                  <a:p>
                    <a:r>
                      <a:rPr lang="en-US"/>
                      <a:t>47.9%</a:t>
                    </a:r>
                  </a:p>
                </c:rich>
              </c:tx>
              <c:showLegendKey val="0"/>
              <c:showVal val="1"/>
              <c:showCatName val="0"/>
              <c:showSerName val="0"/>
              <c:showPercent val="0"/>
              <c:showBubbleSize val="0"/>
            </c:dLbl>
            <c:dLbl>
              <c:idx val="4"/>
              <c:tx>
                <c:rich>
                  <a:bodyPr/>
                  <a:lstStyle/>
                  <a:p>
                    <a:r>
                      <a:rPr lang="en-US"/>
                      <a:t>85</a:t>
                    </a:r>
                  </a:p>
                  <a:p>
                    <a:r>
                      <a:rPr lang="en-US"/>
                      <a:t>52.1%</a:t>
                    </a:r>
                  </a:p>
                </c:rich>
              </c:tx>
              <c:showLegendKey val="0"/>
              <c:showVal val="1"/>
              <c:showCatName val="0"/>
              <c:showSerName val="0"/>
              <c:showPercent val="0"/>
              <c:showBubbleSize val="0"/>
            </c:dLbl>
            <c:dLbl>
              <c:idx val="6"/>
              <c:tx>
                <c:rich>
                  <a:bodyPr/>
                  <a:lstStyle/>
                  <a:p>
                    <a:r>
                      <a:rPr lang="en-US"/>
                      <a:t>134  PT</a:t>
                    </a:r>
                    <a:r>
                      <a:rPr lang="en-US" baseline="0"/>
                      <a:t> </a:t>
                    </a:r>
                  </a:p>
                  <a:p>
                    <a:r>
                      <a:rPr lang="en-US" baseline="0"/>
                      <a:t>82.2%</a:t>
                    </a:r>
                    <a:endParaRPr lang="en-US"/>
                  </a:p>
                </c:rich>
              </c:tx>
              <c:showLegendKey val="0"/>
              <c:showVal val="1"/>
              <c:showCatName val="0"/>
              <c:showSerName val="0"/>
              <c:showPercent val="0"/>
              <c:showBubbleSize val="0"/>
            </c:dLbl>
            <c:dLbl>
              <c:idx val="7"/>
              <c:layout>
                <c:manualLayout>
                  <c:x val="2.1872265966754232E-7"/>
                  <c:y val="-2.938475665748393E-2"/>
                </c:manualLayout>
              </c:layout>
              <c:tx>
                <c:rich>
                  <a:bodyPr/>
                  <a:lstStyle/>
                  <a:p>
                    <a:r>
                      <a:rPr lang="en-US"/>
                      <a:t>29 PT</a:t>
                    </a:r>
                  </a:p>
                  <a:p>
                    <a:r>
                      <a:rPr lang="en-US"/>
                      <a:t>17.8%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Lit>
              <c:ptCount val="8"/>
              <c:pt idx="0">
                <c:v>male</c:v>
              </c:pt>
              <c:pt idx="1">
                <c:v> female</c:v>
              </c:pt>
              <c:pt idx="2">
                <c:v> </c:v>
              </c:pt>
              <c:pt idx="3">
                <c:v> age&lt;60 yrs</c:v>
              </c:pt>
              <c:pt idx="4">
                <c:v> age≥60yrs</c:v>
              </c:pt>
              <c:pt idx="5">
                <c:v> </c:v>
              </c:pt>
              <c:pt idx="6">
                <c:v> LOS up to 5 days</c:v>
              </c:pt>
              <c:pt idx="7">
                <c:v> LOS &gt; 5 days</c:v>
              </c:pt>
            </c:strLit>
          </c:cat>
          <c:val>
            <c:numRef>
              <c:f>ورقة3!$AF$30:$AF$37</c:f>
              <c:numCache>
                <c:formatCode>General</c:formatCode>
                <c:ptCount val="8"/>
                <c:pt idx="0">
                  <c:v>94</c:v>
                </c:pt>
                <c:pt idx="1">
                  <c:v>69</c:v>
                </c:pt>
                <c:pt idx="3">
                  <c:v>78</c:v>
                </c:pt>
                <c:pt idx="4">
                  <c:v>85</c:v>
                </c:pt>
                <c:pt idx="6">
                  <c:v>134</c:v>
                </c:pt>
                <c:pt idx="7">
                  <c:v>29</c:v>
                </c:pt>
              </c:numCache>
            </c:numRef>
          </c:val>
        </c:ser>
        <c:dLbls>
          <c:showLegendKey val="0"/>
          <c:showVal val="0"/>
          <c:showCatName val="0"/>
          <c:showSerName val="0"/>
          <c:showPercent val="0"/>
          <c:showBubbleSize val="0"/>
        </c:dLbls>
        <c:gapWidth val="150"/>
        <c:shape val="cylinder"/>
        <c:axId val="157242496"/>
        <c:axId val="218714112"/>
        <c:axId val="0"/>
      </c:bar3DChart>
      <c:catAx>
        <c:axId val="157242496"/>
        <c:scaling>
          <c:orientation val="maxMin"/>
        </c:scaling>
        <c:delete val="0"/>
        <c:axPos val="b"/>
        <c:majorTickMark val="out"/>
        <c:minorTickMark val="none"/>
        <c:tickLblPos val="nextTo"/>
        <c:crossAx val="218714112"/>
        <c:crosses val="autoZero"/>
        <c:auto val="1"/>
        <c:lblAlgn val="ctr"/>
        <c:lblOffset val="100"/>
        <c:noMultiLvlLbl val="0"/>
      </c:catAx>
      <c:valAx>
        <c:axId val="218714112"/>
        <c:scaling>
          <c:orientation val="minMax"/>
        </c:scaling>
        <c:delete val="0"/>
        <c:axPos val="r"/>
        <c:majorGridlines/>
        <c:numFmt formatCode="General" sourceLinked="1"/>
        <c:majorTickMark val="out"/>
        <c:minorTickMark val="none"/>
        <c:tickLblPos val="nextTo"/>
        <c:crossAx val="1572424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0"/>
                  <c:y val="-3.7037037037037188E-2"/>
                </c:manualLayout>
              </c:layout>
              <c:tx>
                <c:rich>
                  <a:bodyPr/>
                  <a:lstStyle/>
                  <a:p>
                    <a:r>
                      <a:rPr lang="en-US"/>
                      <a:t>74 PT</a:t>
                    </a:r>
                  </a:p>
                  <a:p>
                    <a:r>
                      <a:rPr lang="en-US"/>
                      <a:t>45.4%</a:t>
                    </a:r>
                  </a:p>
                </c:rich>
              </c:tx>
              <c:showLegendKey val="0"/>
              <c:showVal val="1"/>
              <c:showCatName val="0"/>
              <c:showSerName val="0"/>
              <c:showPercent val="0"/>
              <c:showBubbleSize val="0"/>
            </c:dLbl>
            <c:dLbl>
              <c:idx val="1"/>
              <c:layout>
                <c:manualLayout>
                  <c:x val="0"/>
                  <c:y val="-4.1666666666666671E-2"/>
                </c:manualLayout>
              </c:layout>
              <c:tx>
                <c:rich>
                  <a:bodyPr/>
                  <a:lstStyle/>
                  <a:p>
                    <a:r>
                      <a:rPr lang="en-US"/>
                      <a:t>39 PT</a:t>
                    </a:r>
                  </a:p>
                  <a:p>
                    <a:r>
                      <a:rPr lang="en-US"/>
                      <a:t>23.9%</a:t>
                    </a:r>
                  </a:p>
                </c:rich>
              </c:tx>
              <c:showLegendKey val="0"/>
              <c:showVal val="1"/>
              <c:showCatName val="0"/>
              <c:showSerName val="0"/>
              <c:showPercent val="0"/>
              <c:showBubbleSize val="0"/>
            </c:dLbl>
            <c:dLbl>
              <c:idx val="2"/>
              <c:layout>
                <c:manualLayout>
                  <c:x val="0"/>
                  <c:y val="-2.777777777777803E-2"/>
                </c:manualLayout>
              </c:layout>
              <c:tx>
                <c:rich>
                  <a:bodyPr/>
                  <a:lstStyle/>
                  <a:p>
                    <a:r>
                      <a:rPr lang="en-US"/>
                      <a:t>29 PT</a:t>
                    </a:r>
                  </a:p>
                  <a:p>
                    <a:r>
                      <a:rPr lang="en-US"/>
                      <a:t>18%</a:t>
                    </a:r>
                  </a:p>
                </c:rich>
              </c:tx>
              <c:showLegendKey val="0"/>
              <c:showVal val="1"/>
              <c:showCatName val="0"/>
              <c:showSerName val="0"/>
              <c:showPercent val="0"/>
              <c:showBubbleSize val="0"/>
            </c:dLbl>
            <c:dLbl>
              <c:idx val="3"/>
              <c:layout>
                <c:manualLayout>
                  <c:x val="0"/>
                  <c:y val="-3.2407407407407621E-2"/>
                </c:manualLayout>
              </c:layout>
              <c:tx>
                <c:rich>
                  <a:bodyPr/>
                  <a:lstStyle/>
                  <a:p>
                    <a:r>
                      <a:rPr lang="en-US"/>
                      <a:t>21 PT</a:t>
                    </a:r>
                  </a:p>
                  <a:p>
                    <a:r>
                      <a:rPr lang="en-US"/>
                      <a:t>12.7%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Lit>
              <c:ptCount val="4"/>
              <c:pt idx="0">
                <c:v>normal</c:v>
              </c:pt>
              <c:pt idx="1">
                <c:v> undernutrition</c:v>
              </c:pt>
              <c:pt idx="2">
                <c:v> overweight</c:v>
              </c:pt>
              <c:pt idx="3">
                <c:v> obese</c:v>
              </c:pt>
            </c:strLit>
          </c:cat>
          <c:val>
            <c:numRef>
              <c:f>ورقة3!$Y$6:$Y$9</c:f>
              <c:numCache>
                <c:formatCode>General</c:formatCode>
                <c:ptCount val="4"/>
                <c:pt idx="0">
                  <c:v>74</c:v>
                </c:pt>
                <c:pt idx="1">
                  <c:v>39</c:v>
                </c:pt>
                <c:pt idx="2">
                  <c:v>29</c:v>
                </c:pt>
                <c:pt idx="3">
                  <c:v>21</c:v>
                </c:pt>
              </c:numCache>
            </c:numRef>
          </c:val>
        </c:ser>
        <c:dLbls>
          <c:showLegendKey val="0"/>
          <c:showVal val="0"/>
          <c:showCatName val="0"/>
          <c:showSerName val="0"/>
          <c:showPercent val="0"/>
          <c:showBubbleSize val="0"/>
        </c:dLbls>
        <c:gapWidth val="150"/>
        <c:shape val="cylinder"/>
        <c:axId val="218738688"/>
        <c:axId val="218740224"/>
        <c:axId val="0"/>
      </c:bar3DChart>
      <c:catAx>
        <c:axId val="218738688"/>
        <c:scaling>
          <c:orientation val="maxMin"/>
        </c:scaling>
        <c:delete val="0"/>
        <c:axPos val="b"/>
        <c:majorTickMark val="out"/>
        <c:minorTickMark val="none"/>
        <c:tickLblPos val="nextTo"/>
        <c:crossAx val="218740224"/>
        <c:crosses val="autoZero"/>
        <c:auto val="1"/>
        <c:lblAlgn val="ctr"/>
        <c:lblOffset val="100"/>
        <c:noMultiLvlLbl val="0"/>
      </c:catAx>
      <c:valAx>
        <c:axId val="218740224"/>
        <c:scaling>
          <c:orientation val="minMax"/>
        </c:scaling>
        <c:delete val="0"/>
        <c:axPos val="r"/>
        <c:majorGridlines/>
        <c:numFmt formatCode="General" sourceLinked="1"/>
        <c:majorTickMark val="out"/>
        <c:minorTickMark val="none"/>
        <c:tickLblPos val="nextTo"/>
        <c:crossAx val="2187386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0185067526416036E-16"/>
                  <c:y val="-1.3888888888888907E-2"/>
                </c:manualLayout>
              </c:layout>
              <c:tx>
                <c:rich>
                  <a:bodyPr/>
                  <a:lstStyle/>
                  <a:p>
                    <a:r>
                      <a:rPr lang="en-US"/>
                      <a:t>72 PT</a:t>
                    </a:r>
                  </a:p>
                  <a:p>
                    <a:r>
                      <a:rPr lang="en-US"/>
                      <a:t>44.2%</a:t>
                    </a:r>
                  </a:p>
                </c:rich>
              </c:tx>
              <c:showLegendKey val="0"/>
              <c:showVal val="1"/>
              <c:showCatName val="0"/>
              <c:showSerName val="0"/>
              <c:showPercent val="0"/>
              <c:showBubbleSize val="0"/>
            </c:dLbl>
            <c:dLbl>
              <c:idx val="1"/>
              <c:tx>
                <c:rich>
                  <a:bodyPr/>
                  <a:lstStyle/>
                  <a:p>
                    <a:r>
                      <a:rPr lang="en-US"/>
                      <a:t>36 PT</a:t>
                    </a:r>
                  </a:p>
                  <a:p>
                    <a:r>
                      <a:rPr lang="en-US"/>
                      <a:t>22.1%</a:t>
                    </a:r>
                  </a:p>
                </c:rich>
              </c:tx>
              <c:showLegendKey val="0"/>
              <c:showVal val="1"/>
              <c:showCatName val="0"/>
              <c:showSerName val="0"/>
              <c:showPercent val="0"/>
              <c:showBubbleSize val="0"/>
            </c:dLbl>
            <c:dLbl>
              <c:idx val="2"/>
              <c:tx>
                <c:rich>
                  <a:bodyPr/>
                  <a:lstStyle/>
                  <a:p>
                    <a:r>
                      <a:rPr lang="en-US"/>
                      <a:t>18 PT</a:t>
                    </a:r>
                  </a:p>
                  <a:p>
                    <a:r>
                      <a:rPr lang="en-US"/>
                      <a:t>11%</a:t>
                    </a:r>
                  </a:p>
                </c:rich>
              </c:tx>
              <c:showLegendKey val="0"/>
              <c:showVal val="1"/>
              <c:showCatName val="0"/>
              <c:showSerName val="0"/>
              <c:showPercent val="0"/>
              <c:showBubbleSize val="0"/>
            </c:dLbl>
            <c:dLbl>
              <c:idx val="3"/>
              <c:tx>
                <c:rich>
                  <a:bodyPr/>
                  <a:lstStyle/>
                  <a:p>
                    <a:r>
                      <a:rPr lang="en-US"/>
                      <a:t>17 PT </a:t>
                    </a:r>
                  </a:p>
                  <a:p>
                    <a:r>
                      <a:rPr lang="en-US"/>
                      <a:t>10.4%</a:t>
                    </a:r>
                  </a:p>
                </c:rich>
              </c:tx>
              <c:showLegendKey val="0"/>
              <c:showVal val="1"/>
              <c:showCatName val="0"/>
              <c:showSerName val="0"/>
              <c:showPercent val="0"/>
              <c:showBubbleSize val="0"/>
            </c:dLbl>
            <c:dLbl>
              <c:idx val="4"/>
              <c:layout>
                <c:manualLayout>
                  <c:x val="0"/>
                  <c:y val="-9.2592592592592778E-3"/>
                </c:manualLayout>
              </c:layout>
              <c:tx>
                <c:rich>
                  <a:bodyPr/>
                  <a:lstStyle/>
                  <a:p>
                    <a:r>
                      <a:rPr lang="en-US"/>
                      <a:t>20 PT </a:t>
                    </a:r>
                  </a:p>
                  <a:p>
                    <a:r>
                      <a:rPr lang="en-US"/>
                      <a:t>12.3%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Lit>
              <c:ptCount val="5"/>
              <c:pt idx="0">
                <c:v>Respir</c:v>
              </c:pt>
              <c:pt idx="1">
                <c:v> Gastro</c:v>
              </c:pt>
              <c:pt idx="2">
                <c:v> Neuro</c:v>
              </c:pt>
              <c:pt idx="3">
                <c:v>Diabetes</c:v>
              </c:pt>
              <c:pt idx="4">
                <c:v> others</c:v>
              </c:pt>
            </c:strLit>
          </c:cat>
          <c:val>
            <c:numRef>
              <c:f>ورقة3!$Q$6:$Q$10</c:f>
              <c:numCache>
                <c:formatCode>General</c:formatCode>
                <c:ptCount val="5"/>
                <c:pt idx="0">
                  <c:v>72</c:v>
                </c:pt>
                <c:pt idx="1">
                  <c:v>36</c:v>
                </c:pt>
                <c:pt idx="2">
                  <c:v>18</c:v>
                </c:pt>
                <c:pt idx="3">
                  <c:v>17</c:v>
                </c:pt>
                <c:pt idx="4">
                  <c:v>20</c:v>
                </c:pt>
              </c:numCache>
            </c:numRef>
          </c:val>
        </c:ser>
        <c:dLbls>
          <c:showLegendKey val="0"/>
          <c:showVal val="0"/>
          <c:showCatName val="0"/>
          <c:showSerName val="0"/>
          <c:showPercent val="0"/>
          <c:showBubbleSize val="0"/>
        </c:dLbls>
        <c:gapWidth val="150"/>
        <c:shape val="cylinder"/>
        <c:axId val="218752512"/>
        <c:axId val="218754048"/>
        <c:axId val="0"/>
      </c:bar3DChart>
      <c:catAx>
        <c:axId val="218752512"/>
        <c:scaling>
          <c:orientation val="maxMin"/>
        </c:scaling>
        <c:delete val="0"/>
        <c:axPos val="b"/>
        <c:majorTickMark val="out"/>
        <c:minorTickMark val="none"/>
        <c:tickLblPos val="nextTo"/>
        <c:crossAx val="218754048"/>
        <c:crosses val="autoZero"/>
        <c:auto val="1"/>
        <c:lblAlgn val="ctr"/>
        <c:lblOffset val="100"/>
        <c:noMultiLvlLbl val="0"/>
      </c:catAx>
      <c:valAx>
        <c:axId val="218754048"/>
        <c:scaling>
          <c:orientation val="minMax"/>
        </c:scaling>
        <c:delete val="0"/>
        <c:axPos val="r"/>
        <c:majorGridlines/>
        <c:numFmt formatCode="General" sourceLinked="1"/>
        <c:majorTickMark val="out"/>
        <c:minorTickMark val="none"/>
        <c:tickLblPos val="nextTo"/>
        <c:crossAx val="2187525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0185067526416036E-16"/>
                  <c:y val="-3.2407407407407447E-2"/>
                </c:manualLayout>
              </c:layout>
              <c:tx>
                <c:rich>
                  <a:bodyPr/>
                  <a:lstStyle/>
                  <a:p>
                    <a:r>
                      <a:rPr lang="en-US"/>
                      <a:t>52 PT</a:t>
                    </a:r>
                  </a:p>
                  <a:p>
                    <a:r>
                      <a:rPr lang="en-US"/>
                      <a:t>31.9%</a:t>
                    </a:r>
                  </a:p>
                </c:rich>
              </c:tx>
              <c:showLegendKey val="0"/>
              <c:showVal val="1"/>
              <c:showCatName val="0"/>
              <c:showSerName val="0"/>
              <c:showPercent val="0"/>
              <c:showBubbleSize val="0"/>
            </c:dLbl>
            <c:dLbl>
              <c:idx val="1"/>
              <c:tx>
                <c:rich>
                  <a:bodyPr/>
                  <a:lstStyle/>
                  <a:p>
                    <a:r>
                      <a:rPr lang="en-US"/>
                      <a:t>42 pt</a:t>
                    </a:r>
                  </a:p>
                  <a:p>
                    <a:r>
                      <a:rPr lang="en-US"/>
                      <a:t>25.8%</a:t>
                    </a:r>
                  </a:p>
                </c:rich>
              </c:tx>
              <c:showLegendKey val="0"/>
              <c:showVal val="1"/>
              <c:showCatName val="0"/>
              <c:showSerName val="0"/>
              <c:showPercent val="0"/>
              <c:showBubbleSize val="0"/>
            </c:dLbl>
            <c:dLbl>
              <c:idx val="2"/>
              <c:layout>
                <c:manualLayout>
                  <c:x val="0"/>
                  <c:y val="-9.2592592592592778E-3"/>
                </c:manualLayout>
              </c:layout>
              <c:tx>
                <c:rich>
                  <a:bodyPr/>
                  <a:lstStyle/>
                  <a:p>
                    <a:r>
                      <a:rPr lang="en-US"/>
                      <a:t>38 pt</a:t>
                    </a:r>
                  </a:p>
                  <a:p>
                    <a:r>
                      <a:rPr lang="en-US"/>
                      <a:t>23.3%</a:t>
                    </a:r>
                  </a:p>
                </c:rich>
              </c:tx>
              <c:showLegendKey val="0"/>
              <c:showVal val="1"/>
              <c:showCatName val="0"/>
              <c:showSerName val="0"/>
              <c:showPercent val="0"/>
              <c:showBubbleSize val="0"/>
            </c:dLbl>
            <c:dLbl>
              <c:idx val="3"/>
              <c:layout>
                <c:manualLayout>
                  <c:x val="5.0925337632080168E-17"/>
                  <c:y val="-9.2592592592592778E-3"/>
                </c:manualLayout>
              </c:layout>
              <c:tx>
                <c:rich>
                  <a:bodyPr/>
                  <a:lstStyle/>
                  <a:p>
                    <a:r>
                      <a:rPr lang="en-US"/>
                      <a:t>19 pt</a:t>
                    </a:r>
                  </a:p>
                  <a:p>
                    <a:r>
                      <a:rPr lang="en-US"/>
                      <a:t>11.7%</a:t>
                    </a:r>
                  </a:p>
                </c:rich>
              </c:tx>
              <c:showLegendKey val="0"/>
              <c:showVal val="1"/>
              <c:showCatName val="0"/>
              <c:showSerName val="0"/>
              <c:showPercent val="0"/>
              <c:showBubbleSize val="0"/>
            </c:dLbl>
            <c:dLbl>
              <c:idx val="4"/>
              <c:layout>
                <c:manualLayout>
                  <c:x val="8.3333333333333367E-3"/>
                  <c:y val="-2.7777777777777759E-2"/>
                </c:manualLayout>
              </c:layout>
              <c:tx>
                <c:rich>
                  <a:bodyPr/>
                  <a:lstStyle/>
                  <a:p>
                    <a:r>
                      <a:rPr lang="en-US"/>
                      <a:t>7 pt</a:t>
                    </a:r>
                  </a:p>
                  <a:p>
                    <a:r>
                      <a:rPr lang="en-US"/>
                      <a:t>4.3%</a:t>
                    </a:r>
                  </a:p>
                </c:rich>
              </c:tx>
              <c:showLegendKey val="0"/>
              <c:showVal val="1"/>
              <c:showCatName val="0"/>
              <c:showSerName val="0"/>
              <c:showPercent val="0"/>
              <c:showBubbleSize val="0"/>
            </c:dLbl>
            <c:dLbl>
              <c:idx val="5"/>
              <c:layout>
                <c:manualLayout>
                  <c:x val="0"/>
                  <c:y val="-5.0925925925925888E-2"/>
                </c:manualLayout>
              </c:layout>
              <c:tx>
                <c:rich>
                  <a:bodyPr/>
                  <a:lstStyle/>
                  <a:p>
                    <a:r>
                      <a:rPr lang="en-US"/>
                      <a:t>5 pt</a:t>
                    </a:r>
                  </a:p>
                  <a:p>
                    <a:r>
                      <a:rPr lang="en-US"/>
                      <a:t>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Lit>
              <c:ptCount val="6"/>
              <c:pt idx="0">
                <c:v>S Asia</c:v>
              </c:pt>
              <c:pt idx="1">
                <c:v> Arabic</c:v>
              </c:pt>
              <c:pt idx="2">
                <c:v> SEAsia</c:v>
              </c:pt>
              <c:pt idx="3">
                <c:v> C Asia</c:v>
              </c:pt>
              <c:pt idx="4">
                <c:v> African</c:v>
              </c:pt>
              <c:pt idx="5">
                <c:v> Others</c:v>
              </c:pt>
            </c:strLit>
          </c:cat>
          <c:val>
            <c:numRef>
              <c:f>ورقة3!$F$11:$F$16</c:f>
              <c:numCache>
                <c:formatCode>General</c:formatCode>
                <c:ptCount val="6"/>
                <c:pt idx="0">
                  <c:v>52</c:v>
                </c:pt>
                <c:pt idx="1">
                  <c:v>42</c:v>
                </c:pt>
                <c:pt idx="2">
                  <c:v>38</c:v>
                </c:pt>
                <c:pt idx="3">
                  <c:v>19</c:v>
                </c:pt>
                <c:pt idx="4">
                  <c:v>7</c:v>
                </c:pt>
                <c:pt idx="5">
                  <c:v>5</c:v>
                </c:pt>
              </c:numCache>
            </c:numRef>
          </c:val>
        </c:ser>
        <c:dLbls>
          <c:showLegendKey val="0"/>
          <c:showVal val="0"/>
          <c:showCatName val="0"/>
          <c:showSerName val="0"/>
          <c:showPercent val="0"/>
          <c:showBubbleSize val="0"/>
        </c:dLbls>
        <c:gapWidth val="150"/>
        <c:shape val="cylinder"/>
        <c:axId val="220548096"/>
        <c:axId val="220549888"/>
        <c:axId val="0"/>
      </c:bar3DChart>
      <c:catAx>
        <c:axId val="220548096"/>
        <c:scaling>
          <c:orientation val="maxMin"/>
        </c:scaling>
        <c:delete val="0"/>
        <c:axPos val="b"/>
        <c:majorTickMark val="out"/>
        <c:minorTickMark val="none"/>
        <c:tickLblPos val="nextTo"/>
        <c:crossAx val="220549888"/>
        <c:crosses val="autoZero"/>
        <c:auto val="1"/>
        <c:lblAlgn val="ctr"/>
        <c:lblOffset val="100"/>
        <c:noMultiLvlLbl val="0"/>
      </c:catAx>
      <c:valAx>
        <c:axId val="220549888"/>
        <c:scaling>
          <c:orientation val="minMax"/>
        </c:scaling>
        <c:delete val="0"/>
        <c:axPos val="r"/>
        <c:majorGridlines/>
        <c:numFmt formatCode="General" sourceLinked="1"/>
        <c:majorTickMark val="out"/>
        <c:minorTickMark val="none"/>
        <c:tickLblPos val="nextTo"/>
        <c:crossAx val="2205480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5538-B2AD-4E52-84FF-FBAB1798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5425</Words>
  <Characters>30929</Characters>
  <Application>Microsoft Office Word</Application>
  <DocSecurity>0</DocSecurity>
  <Lines>257</Lines>
  <Paragraphs>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wael</dc:creator>
  <cp:lastModifiedBy>معتز المحتسب</cp:lastModifiedBy>
  <cp:revision>2</cp:revision>
  <dcterms:created xsi:type="dcterms:W3CDTF">2020-01-30T14:34:00Z</dcterms:created>
  <dcterms:modified xsi:type="dcterms:W3CDTF">2020-01-30T14:34:00Z</dcterms:modified>
</cp:coreProperties>
</file>