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244"/>
      </w:tblGrid>
      <w:tr w:rsidR="001C0E49" w:rsidRPr="00CF4B32">
        <w:trPr>
          <w:trHeight w:val="1170"/>
        </w:trPr>
        <w:tc>
          <w:tcPr>
            <w:tcW w:w="5000" w:type="pct"/>
            <w:tcBorders>
              <w:top w:val="nil"/>
              <w:left w:val="nil"/>
              <w:bottom w:val="nil"/>
              <w:right w:val="nil"/>
            </w:tcBorders>
            <w:vAlign w:val="center"/>
            <w:hideMark/>
          </w:tcPr>
          <w:p w:rsidR="001C0E49" w:rsidRPr="00CF4B32" w:rsidRDefault="001C0E49" w:rsidP="001C0E49">
            <w:pPr>
              <w:bidi w:val="0"/>
              <w:spacing w:after="0" w:line="240" w:lineRule="auto"/>
              <w:jc w:val="center"/>
              <w:rPr>
                <w:rFonts w:ascii="Traditional Arabic" w:eastAsia="Times New Roman" w:hAnsi="Traditional Arabic" w:cs="Traditional Arabic"/>
                <w:sz w:val="32"/>
                <w:szCs w:val="32"/>
              </w:rPr>
            </w:pPr>
            <w:bookmarkStart w:id="0" w:name="_GoBack"/>
            <w:r w:rsidRPr="00CF4B32">
              <w:rPr>
                <w:rFonts w:ascii="Traditional Arabic" w:eastAsia="Times New Roman" w:hAnsi="Traditional Arabic" w:cs="Traditional Arabic"/>
                <w:b/>
                <w:bCs/>
                <w:sz w:val="32"/>
                <w:szCs w:val="32"/>
                <w:rtl/>
              </w:rPr>
              <w:t xml:space="preserve">معهد خادم الحرمين الشريفين لأبحاث الحج </w:t>
            </w:r>
            <w:r w:rsidRPr="00CF4B32">
              <w:rPr>
                <w:rFonts w:ascii="Traditional Arabic" w:eastAsia="Times New Roman" w:hAnsi="Traditional Arabic" w:cs="Traditional Arabic"/>
                <w:sz w:val="32"/>
                <w:szCs w:val="32"/>
              </w:rPr>
              <w:br/>
            </w:r>
            <w:r w:rsidRPr="00CF4B32">
              <w:rPr>
                <w:rFonts w:ascii="Traditional Arabic" w:eastAsia="Times New Roman" w:hAnsi="Traditional Arabic" w:cs="Traditional Arabic"/>
                <w:b/>
                <w:bCs/>
                <w:color w:val="CB9801"/>
                <w:sz w:val="52"/>
                <w:szCs w:val="52"/>
                <w:rtl/>
              </w:rPr>
              <w:t>الملتقى العلمي الخامس لأبحاث الحج</w:t>
            </w:r>
            <w:r w:rsidRPr="00CF4B32">
              <w:rPr>
                <w:rFonts w:ascii="Traditional Arabic" w:eastAsia="Times New Roman" w:hAnsi="Traditional Arabic" w:cs="Traditional Arabic"/>
                <w:sz w:val="32"/>
                <w:szCs w:val="32"/>
              </w:rPr>
              <w:br/>
            </w:r>
            <w:r w:rsidRPr="00CF4B32">
              <w:rPr>
                <w:rFonts w:ascii="Traditional Arabic" w:eastAsia="Times New Roman" w:hAnsi="Traditional Arabic" w:cs="Traditional Arabic"/>
                <w:b/>
                <w:bCs/>
                <w:color w:val="000099"/>
                <w:sz w:val="36"/>
                <w:szCs w:val="36"/>
              </w:rPr>
              <w:t xml:space="preserve">( </w:t>
            </w:r>
            <w:r w:rsidRPr="00CF4B32">
              <w:rPr>
                <w:rFonts w:ascii="Traditional Arabic" w:eastAsia="Times New Roman" w:hAnsi="Traditional Arabic" w:cs="Traditional Arabic"/>
                <w:b/>
                <w:bCs/>
                <w:color w:val="000099"/>
                <w:sz w:val="36"/>
                <w:szCs w:val="36"/>
                <w:rtl/>
              </w:rPr>
              <w:t>دراسات منطقة الجمرات</w:t>
            </w:r>
            <w:r w:rsidRPr="00CF4B32">
              <w:rPr>
                <w:rFonts w:ascii="Traditional Arabic" w:eastAsia="Times New Roman" w:hAnsi="Traditional Arabic" w:cs="Traditional Arabic"/>
                <w:b/>
                <w:bCs/>
                <w:color w:val="000099"/>
                <w:sz w:val="36"/>
                <w:szCs w:val="36"/>
              </w:rPr>
              <w:t xml:space="preserve"> )</w:t>
            </w:r>
          </w:p>
        </w:tc>
      </w:tr>
      <w:tr w:rsidR="001C0E49" w:rsidRPr="00CF4B32">
        <w:trPr>
          <w:trHeight w:val="1170"/>
        </w:trPr>
        <w:tc>
          <w:tcPr>
            <w:tcW w:w="5000" w:type="pct"/>
            <w:tcBorders>
              <w:top w:val="nil"/>
              <w:left w:val="nil"/>
              <w:bottom w:val="nil"/>
              <w:right w:val="nil"/>
            </w:tcBorders>
            <w:vAlign w:val="center"/>
            <w:hideMark/>
          </w:tcPr>
          <w:p w:rsidR="001C0E49" w:rsidRPr="00CF4B32" w:rsidRDefault="001C0E49" w:rsidP="001C0E49">
            <w:pPr>
              <w:spacing w:after="0" w:line="240" w:lineRule="auto"/>
              <w:jc w:val="center"/>
              <w:rPr>
                <w:rFonts w:ascii="Traditional Arabic" w:eastAsia="Times New Roman" w:hAnsi="Traditional Arabic" w:cs="Traditional Arabic"/>
                <w:sz w:val="32"/>
                <w:szCs w:val="32"/>
              </w:rPr>
            </w:pPr>
            <w:r w:rsidRPr="00CF4B32">
              <w:rPr>
                <w:rFonts w:ascii="Traditional Arabic" w:eastAsia="Times New Roman" w:hAnsi="Traditional Arabic" w:cs="Traditional Arabic"/>
                <w:b/>
                <w:bCs/>
                <w:color w:val="CB9801"/>
                <w:sz w:val="32"/>
                <w:szCs w:val="32"/>
                <w:rtl/>
              </w:rPr>
              <w:t>التوعية والإعلام وتأثيرها على منظومة الحركة بمنطقة الجمرات</w:t>
            </w:r>
            <w:r w:rsidRPr="00CF4B32">
              <w:rPr>
                <w:rFonts w:ascii="Traditional Arabic" w:eastAsia="Times New Roman" w:hAnsi="Traditional Arabic" w:cs="Traditional Arabic"/>
                <w:b/>
                <w:bCs/>
                <w:color w:val="CB9801"/>
                <w:sz w:val="32"/>
                <w:szCs w:val="32"/>
                <w:rtl/>
              </w:rPr>
              <w:br/>
            </w:r>
            <w:r w:rsidRPr="00CF4B32">
              <w:rPr>
                <w:rFonts w:ascii="Traditional Arabic" w:eastAsia="Times New Roman" w:hAnsi="Traditional Arabic" w:cs="Traditional Arabic"/>
                <w:b/>
                <w:bCs/>
                <w:color w:val="CB9801"/>
                <w:sz w:val="32"/>
                <w:szCs w:val="32"/>
                <w:rtl/>
              </w:rPr>
              <w:br/>
              <w:t>إعداد</w:t>
            </w:r>
            <w:r w:rsidRPr="00CF4B32">
              <w:rPr>
                <w:rFonts w:ascii="Traditional Arabic" w:eastAsia="Times New Roman" w:hAnsi="Traditional Arabic" w:cs="Traditional Arabic"/>
                <w:b/>
                <w:bCs/>
                <w:color w:val="CB9801"/>
                <w:sz w:val="32"/>
                <w:szCs w:val="32"/>
                <w:rtl/>
              </w:rPr>
              <w:br/>
              <w:t>أ. رأفت بن إسماعيل بدر</w:t>
            </w:r>
            <w:r w:rsidRPr="00CF4B32">
              <w:rPr>
                <w:rFonts w:ascii="Traditional Arabic" w:eastAsia="Times New Roman" w:hAnsi="Traditional Arabic" w:cs="Traditional Arabic"/>
                <w:b/>
                <w:bCs/>
                <w:color w:val="CB9801"/>
                <w:sz w:val="32"/>
                <w:szCs w:val="32"/>
                <w:rtl/>
              </w:rPr>
              <w:br/>
            </w:r>
            <w:r w:rsidRPr="00CF4B32">
              <w:rPr>
                <w:rFonts w:ascii="Traditional Arabic" w:eastAsia="Times New Roman" w:hAnsi="Traditional Arabic" w:cs="Traditional Arabic"/>
                <w:b/>
                <w:bCs/>
                <w:color w:val="CB9801"/>
                <w:sz w:val="32"/>
                <w:szCs w:val="32"/>
                <w:rtl/>
              </w:rPr>
              <w:br/>
              <w:t>الأستاذ المساعد بكلية التربية بأبها ـ جامعة الملك خالد</w:t>
            </w:r>
          </w:p>
        </w:tc>
      </w:tr>
      <w:tr w:rsidR="001C0E49" w:rsidRPr="00CF4B32">
        <w:trPr>
          <w:trHeight w:val="1170"/>
        </w:trPr>
        <w:tc>
          <w:tcPr>
            <w:tcW w:w="5000" w:type="pct"/>
            <w:tcBorders>
              <w:top w:val="nil"/>
              <w:left w:val="nil"/>
              <w:bottom w:val="nil"/>
              <w:right w:val="nil"/>
            </w:tcBorders>
            <w:vAlign w:val="center"/>
            <w:hideMark/>
          </w:tcPr>
          <w:p w:rsidR="001C0E49" w:rsidRPr="00CF4B32" w:rsidRDefault="001C0E49" w:rsidP="001C0E49">
            <w:pPr>
              <w:spacing w:before="100" w:beforeAutospacing="1" w:after="100" w:afterAutospacing="1" w:line="240" w:lineRule="auto"/>
              <w:jc w:val="center"/>
              <w:rPr>
                <w:rFonts w:ascii="Traditional Arabic" w:eastAsia="Times New Roman" w:hAnsi="Traditional Arabic" w:cs="Traditional Arabic"/>
                <w:sz w:val="32"/>
                <w:szCs w:val="32"/>
              </w:rPr>
            </w:pPr>
            <w:r w:rsidRPr="00CF4B32">
              <w:rPr>
                <w:rFonts w:ascii="Traditional Arabic" w:eastAsia="Times New Roman" w:hAnsi="Traditional Arabic" w:cs="Traditional Arabic"/>
                <w:color w:val="000000"/>
                <w:sz w:val="40"/>
                <w:szCs w:val="40"/>
                <w:rtl/>
              </w:rPr>
              <w:t>ملخص</w:t>
            </w:r>
            <w:r w:rsidRPr="00CF4B32">
              <w:rPr>
                <w:rFonts w:ascii="Traditional Arabic" w:eastAsia="Times New Roman" w:hAnsi="Traditional Arabic" w:cs="Traditional Arabic"/>
                <w:color w:val="000000"/>
                <w:sz w:val="40"/>
                <w:szCs w:val="40"/>
              </w:rPr>
              <w:t xml:space="preserve"> </w:t>
            </w:r>
            <w:r w:rsidRPr="00CF4B32">
              <w:rPr>
                <w:rFonts w:ascii="Traditional Arabic" w:eastAsia="Times New Roman" w:hAnsi="Traditional Arabic" w:cs="Traditional Arabic"/>
                <w:color w:val="000000"/>
                <w:sz w:val="40"/>
                <w:szCs w:val="40"/>
                <w:rtl/>
              </w:rPr>
              <w:t>البحث</w:t>
            </w:r>
          </w:p>
          <w:p w:rsidR="001C0E49" w:rsidRPr="00CF4B32" w:rsidRDefault="001C0E49" w:rsidP="001C0E49">
            <w:pPr>
              <w:spacing w:before="120" w:after="100" w:afterAutospacing="1" w:line="288" w:lineRule="auto"/>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أهمية البحث:</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تتمثل أهمية البحث في أنه يتناول التوعية بمفهومها الشامل الذي ينطلق من الكتاب والسنة المشرفة بوصفها غاية شرعية ومطلباً أساسياً ملحاً من أجل راحة الحجيج وسلامتهم، مع مراعاة الأخذ بكل وسائل العلم الحديثة في هذا المجال.</w:t>
            </w:r>
          </w:p>
          <w:p w:rsidR="001C0E49" w:rsidRPr="00CF4B32" w:rsidRDefault="001C0E49" w:rsidP="001C0E49">
            <w:pPr>
              <w:spacing w:before="360" w:after="100" w:afterAutospacing="1" w:line="288" w:lineRule="auto"/>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مشكلة البحث:</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 xml:space="preserve">إن اختلاف ثقافات وعادات الحجاج واختلاف مشاربهم وتدني المستويات الفكرية والاجتماعية لدى كثير منهم، كان ولا يزال يمثل إشكالية كبرى تواجهها المملكة في كل عام وينجم عنها الكثير من الأحداث, لذلك عمد هذا البحث إلى تسليط الضوء على هذه المشكلة وإيجاد السبل المناسبة من أجل تفعيل جوانب توعية الحجاج، حتى يتمكنوا من أداء </w:t>
            </w:r>
            <w:r w:rsidRPr="00CF4B32">
              <w:rPr>
                <w:rFonts w:ascii="Traditional Arabic" w:eastAsia="Times New Roman" w:hAnsi="Traditional Arabic" w:cs="Traditional Arabic"/>
                <w:sz w:val="40"/>
                <w:szCs w:val="40"/>
                <w:rtl/>
              </w:rPr>
              <w:lastRenderedPageBreak/>
              <w:t>مناسك حجهم في يسر وسهولة.</w:t>
            </w:r>
          </w:p>
          <w:p w:rsidR="001C0E49" w:rsidRPr="00CF4B32" w:rsidRDefault="001C0E49" w:rsidP="001C0E49">
            <w:pPr>
              <w:spacing w:before="360" w:after="100" w:afterAutospacing="1" w:line="288" w:lineRule="auto"/>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منهجية البحث:</w:t>
            </w:r>
          </w:p>
          <w:p w:rsidR="001C0E49" w:rsidRPr="00CF4B32" w:rsidRDefault="001C0E49" w:rsidP="001C0E49">
            <w:pPr>
              <w:spacing w:before="120" w:after="100" w:afterAutospacing="1" w:line="300"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حرص هذا البحث الموجز على إتباع الأسلوب العلمي في تناول موضوع البحث وذلك على النحو التالي:</w:t>
            </w:r>
          </w:p>
          <w:p w:rsidR="001C0E49" w:rsidRPr="00CF4B32" w:rsidRDefault="001C0E49" w:rsidP="001C0E49">
            <w:pPr>
              <w:spacing w:before="120" w:after="100" w:afterAutospacing="1" w:line="300" w:lineRule="auto"/>
              <w:ind w:firstLine="284"/>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أولاً: المقدمة:</w:t>
            </w:r>
          </w:p>
          <w:p w:rsidR="001C0E49" w:rsidRPr="00CF4B32" w:rsidRDefault="001C0E49" w:rsidP="001C0E49">
            <w:pPr>
              <w:spacing w:before="120" w:after="100" w:afterAutospacing="1" w:line="300"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وتطرقت إلى الجهود الكبيرة التي تبذلها كافة الجهات الحكومية والأهلية بالمملكة في تقديم أفضل الخدمات لضيوف الرحمن، وكذلك التفات الجهات المعنية منذ سنوات إلى جانب توعية الحجاج وإرشادهم وتوجيههم التوجيه الصحيح، مع الأخذ في الاعتبار أن هذا الأمر يحتاج إلى مزيد من العناية والاهتمام…</w:t>
            </w:r>
          </w:p>
          <w:p w:rsidR="001C0E49" w:rsidRPr="00CF4B32" w:rsidRDefault="001C0E49" w:rsidP="001C0E49">
            <w:pPr>
              <w:spacing w:before="120" w:after="100" w:afterAutospacing="1" w:line="300" w:lineRule="auto"/>
              <w:ind w:firstLine="284"/>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ثانياً: مفهوم التوعية:</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ويقصد به العمل على تغيير سلوك الحجاج نحو الجانب الإيجابي الذي يتسم بالهدوء والحرص على سلامتهم وسلامة كل من حولهم ولاسيما العجزة والمرضى.</w:t>
            </w:r>
          </w:p>
          <w:p w:rsidR="001C0E49" w:rsidRPr="00CF4B32" w:rsidRDefault="001C0E49" w:rsidP="001C0E49">
            <w:pPr>
              <w:spacing w:before="120" w:after="100" w:afterAutospacing="1" w:line="300" w:lineRule="auto"/>
              <w:ind w:firstLine="284"/>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ثالثاً: الإعلام ووسائله:</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 xml:space="preserve">وتم في هذه الفقرة استعراض الوسائل الإعلامية وأثرها الكبير في نشر الوعي في أوساط الحجاج مع التأكيد على أن الهدف النهائي من أي حملة توعوية إعلامية ليس صياغة </w:t>
            </w:r>
            <w:r w:rsidRPr="00CF4B32">
              <w:rPr>
                <w:rFonts w:ascii="Traditional Arabic" w:eastAsia="Times New Roman" w:hAnsi="Traditional Arabic" w:cs="Traditional Arabic"/>
                <w:sz w:val="40"/>
                <w:szCs w:val="40"/>
                <w:rtl/>
              </w:rPr>
              <w:lastRenderedPageBreak/>
              <w:t>الرسائل أو إظهار القدرة البلاغية، إنما الهدف هو إحداث التصرف المطلوب من قبل المستهدفين الذين تم توجيه الرسائل التوعوية إليهم.</w:t>
            </w:r>
          </w:p>
          <w:p w:rsidR="001C0E49" w:rsidRPr="00CF4B32" w:rsidRDefault="001C0E49" w:rsidP="001C0E49">
            <w:pPr>
              <w:spacing w:before="120" w:after="100" w:afterAutospacing="1" w:line="300" w:lineRule="auto"/>
              <w:ind w:firstLine="284"/>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رابعاً: تجربة مؤسسة جنوب آسيا في مجال توعية الحجاج:</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وتم في هذه الفقرة استعراض جهود هذه المؤسسة في هذا المجال الحيوي المهم مع بيان إيجابيات هذه التجربة وكذلك الملاحظات والسلبيات التي تم رصدها أثناء التنفيذ.</w:t>
            </w:r>
          </w:p>
          <w:p w:rsidR="001C0E49" w:rsidRPr="00CF4B32" w:rsidRDefault="001C0E49" w:rsidP="001C0E49">
            <w:pPr>
              <w:spacing w:before="120" w:after="100" w:afterAutospacing="1" w:line="300" w:lineRule="auto"/>
              <w:ind w:firstLine="284"/>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خامساً: الخاتمة والتوصيات:</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خلص هذا البحث إلى الأهمية القصوى لتوعية الحجاج من أجل تنظيم حركتهم في منطقة جسر الجمرات, كما أكد على أهمية اختيار الوسيلة التوعوية الحديثة المؤثرة، والعمل الجاد على تفعيلها بالصورة المطلوبة.</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كما قدم البحث عدداً من المقترحات التي يمكن أن تسهم في التأثير على سلوك الحجاج ومن أبرزها:</w:t>
            </w:r>
          </w:p>
          <w:p w:rsidR="001C0E49" w:rsidRPr="00CF4B32" w:rsidRDefault="001C0E49" w:rsidP="001C0E49">
            <w:pPr>
              <w:spacing w:before="120" w:after="0" w:line="288" w:lineRule="auto"/>
              <w:ind w:left="849" w:hanging="283"/>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Pr>
              <w:t></w:t>
            </w:r>
            <w:r w:rsidRPr="00CF4B32">
              <w:rPr>
                <w:rFonts w:ascii="Traditional Arabic" w:eastAsia="Times New Roman" w:hAnsi="Traditional Arabic" w:cs="Traditional Arabic"/>
                <w:sz w:val="18"/>
                <w:szCs w:val="18"/>
                <w:rtl/>
              </w:rPr>
              <w:t xml:space="preserve">  </w:t>
            </w:r>
            <w:r w:rsidRPr="00CF4B32">
              <w:rPr>
                <w:rFonts w:ascii="Traditional Arabic" w:eastAsia="Times New Roman" w:hAnsi="Traditional Arabic" w:cs="Traditional Arabic"/>
                <w:sz w:val="40"/>
                <w:szCs w:val="40"/>
                <w:rtl/>
              </w:rPr>
              <w:t>وضع شاشات عرض كبيرة في الميادين والطرقات المؤدية لجسر الجمرات، تبث من خلالها الرسائل التوعوية والإرشادات المطلوبة مع نقل حي مباشر لجميع الأحداث التي تقع في جسر الجمرات، من أجل إحاطة الحجاج بذلك حتى يتوخوا الهدوء والحذر.</w:t>
            </w:r>
          </w:p>
          <w:p w:rsidR="001C0E49" w:rsidRPr="00CF4B32" w:rsidRDefault="001C0E49" w:rsidP="001C0E49">
            <w:pPr>
              <w:spacing w:before="120" w:after="0" w:line="288" w:lineRule="auto"/>
              <w:ind w:left="849" w:hanging="283"/>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Pr>
              <w:t></w:t>
            </w:r>
            <w:r w:rsidRPr="00CF4B32">
              <w:rPr>
                <w:rFonts w:ascii="Traditional Arabic" w:eastAsia="Times New Roman" w:hAnsi="Traditional Arabic" w:cs="Traditional Arabic"/>
                <w:sz w:val="18"/>
                <w:szCs w:val="18"/>
                <w:rtl/>
              </w:rPr>
              <w:t xml:space="preserve">     </w:t>
            </w:r>
            <w:r w:rsidRPr="00CF4B32">
              <w:rPr>
                <w:rFonts w:ascii="Traditional Arabic" w:eastAsia="Times New Roman" w:hAnsi="Traditional Arabic" w:cs="Traditional Arabic"/>
                <w:sz w:val="40"/>
                <w:szCs w:val="40"/>
                <w:rtl/>
              </w:rPr>
              <w:t>استخدام لغة الإشارة في توعية الحجاج.</w:t>
            </w:r>
          </w:p>
          <w:p w:rsidR="001C0E49" w:rsidRPr="00CF4B32" w:rsidRDefault="001C0E49" w:rsidP="001C0E49">
            <w:pPr>
              <w:spacing w:before="120" w:after="0" w:line="288" w:lineRule="auto"/>
              <w:ind w:left="849" w:hanging="283"/>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Pr>
              <w:lastRenderedPageBreak/>
              <w:t></w:t>
            </w:r>
            <w:r w:rsidRPr="00CF4B32">
              <w:rPr>
                <w:rFonts w:ascii="Traditional Arabic" w:eastAsia="Times New Roman" w:hAnsi="Traditional Arabic" w:cs="Traditional Arabic"/>
                <w:sz w:val="18"/>
                <w:szCs w:val="18"/>
                <w:rtl/>
              </w:rPr>
              <w:t xml:space="preserve">  </w:t>
            </w:r>
            <w:r w:rsidRPr="00CF4B32">
              <w:rPr>
                <w:rFonts w:ascii="Traditional Arabic" w:eastAsia="Times New Roman" w:hAnsi="Traditional Arabic" w:cs="Traditional Arabic"/>
                <w:sz w:val="40"/>
                <w:szCs w:val="40"/>
                <w:rtl/>
              </w:rPr>
              <w:t>أهمية توعية القائمين على خطط تفويج الحجاج إلى جسر الجمرات من أجل تفاعلهم مع الخطط والبرامج التوعوية المعدة للحجاج.</w:t>
            </w:r>
          </w:p>
          <w:p w:rsidR="001C0E49" w:rsidRPr="00CF4B32" w:rsidRDefault="001C0E49" w:rsidP="001C0E49">
            <w:pPr>
              <w:spacing w:before="120" w:after="100" w:afterAutospacing="1" w:line="300" w:lineRule="auto"/>
              <w:ind w:firstLine="284"/>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سادساً: الملاحق:</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وتم فيها إيراد صور لبعض الوسائل والآليات المستخدمة من قبل مؤسسة جنوب آسيا في مجال التوعية.</w:t>
            </w:r>
          </w:p>
          <w:p w:rsidR="001C0E49" w:rsidRPr="00CF4B32" w:rsidRDefault="001C0E49" w:rsidP="001C0E49">
            <w:pPr>
              <w:spacing w:before="120" w:after="100" w:afterAutospacing="1" w:line="300" w:lineRule="auto"/>
              <w:ind w:firstLine="284"/>
              <w:jc w:val="lowKashida"/>
              <w:rPr>
                <w:rFonts w:ascii="Traditional Arabic" w:eastAsia="Times New Roman" w:hAnsi="Traditional Arabic" w:cs="Traditional Arabic"/>
                <w:sz w:val="32"/>
                <w:szCs w:val="32"/>
                <w:rtl/>
              </w:rPr>
            </w:pPr>
            <w:r w:rsidRPr="00CF4B32">
              <w:rPr>
                <w:rFonts w:ascii="Traditional Arabic" w:eastAsia="Times New Roman" w:hAnsi="Traditional Arabic" w:cs="Traditional Arabic"/>
                <w:sz w:val="40"/>
                <w:szCs w:val="40"/>
                <w:rtl/>
              </w:rPr>
              <w:t>سابعاً: قائمة المراجع:</w:t>
            </w:r>
          </w:p>
          <w:p w:rsidR="001C0E49" w:rsidRPr="00CF4B32" w:rsidRDefault="001C0E49" w:rsidP="001C0E49">
            <w:pPr>
              <w:spacing w:before="120" w:after="100" w:afterAutospacing="1" w:line="288" w:lineRule="auto"/>
              <w:ind w:firstLine="567"/>
              <w:jc w:val="lowKashida"/>
              <w:rPr>
                <w:rFonts w:ascii="Traditional Arabic" w:eastAsia="Times New Roman" w:hAnsi="Traditional Arabic" w:cs="Traditional Arabic"/>
                <w:sz w:val="32"/>
                <w:szCs w:val="32"/>
              </w:rPr>
            </w:pPr>
            <w:r w:rsidRPr="00CF4B32">
              <w:rPr>
                <w:rFonts w:ascii="Traditional Arabic" w:eastAsia="Times New Roman" w:hAnsi="Traditional Arabic" w:cs="Traditional Arabic"/>
                <w:sz w:val="40"/>
                <w:szCs w:val="40"/>
                <w:rtl/>
              </w:rPr>
              <w:t>وتم فيها إيراد المراجع التي تمت الاستعانة بها في سبيل إعداد هذا البحث</w:t>
            </w:r>
          </w:p>
        </w:tc>
      </w:tr>
      <w:bookmarkEnd w:id="0"/>
    </w:tbl>
    <w:p w:rsidR="002652F1" w:rsidRPr="00CF4B32" w:rsidRDefault="002652F1" w:rsidP="001C0E49">
      <w:pPr>
        <w:rPr>
          <w:rFonts w:ascii="Traditional Arabic" w:hAnsi="Traditional Arabic" w:cs="Traditional Arabic"/>
          <w:sz w:val="28"/>
          <w:szCs w:val="28"/>
        </w:rPr>
      </w:pPr>
    </w:p>
    <w:sectPr w:rsidR="002652F1" w:rsidRPr="00CF4B32"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40327"/>
    <w:rsid w:val="001C0E49"/>
    <w:rsid w:val="00224983"/>
    <w:rsid w:val="002411DA"/>
    <w:rsid w:val="002652F1"/>
    <w:rsid w:val="003C1EB1"/>
    <w:rsid w:val="003E461B"/>
    <w:rsid w:val="00480EA2"/>
    <w:rsid w:val="004F0FDB"/>
    <w:rsid w:val="00657096"/>
    <w:rsid w:val="00775259"/>
    <w:rsid w:val="007E4502"/>
    <w:rsid w:val="0090625D"/>
    <w:rsid w:val="00976A60"/>
    <w:rsid w:val="0099791C"/>
    <w:rsid w:val="00A1660A"/>
    <w:rsid w:val="00A66A3D"/>
    <w:rsid w:val="00B20CDA"/>
    <w:rsid w:val="00B82DD1"/>
    <w:rsid w:val="00B916F5"/>
    <w:rsid w:val="00B94B76"/>
    <w:rsid w:val="00CB42AF"/>
    <w:rsid w:val="00CF4B32"/>
    <w:rsid w:val="00D35153"/>
    <w:rsid w:val="00D51CBC"/>
    <w:rsid w:val="00D8473C"/>
    <w:rsid w:val="00DA7E95"/>
    <w:rsid w:val="00E73C04"/>
    <w:rsid w:val="00F10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معتز المحتسب</cp:lastModifiedBy>
  <cp:revision>3</cp:revision>
  <dcterms:created xsi:type="dcterms:W3CDTF">2008-04-29T07:04:00Z</dcterms:created>
  <dcterms:modified xsi:type="dcterms:W3CDTF">2020-02-18T08:32:00Z</dcterms:modified>
</cp:coreProperties>
</file>