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B9" w:rsidRDefault="00300FB9" w:rsidP="00300FB9">
      <w:pPr>
        <w:jc w:val="center"/>
        <w:rPr>
          <w:rFonts w:cs="Akhbar MT" w:hint="cs"/>
          <w:b/>
          <w:bCs/>
          <w:sz w:val="40"/>
          <w:szCs w:val="40"/>
          <w:rtl/>
        </w:rPr>
      </w:pPr>
      <w:r>
        <w:rPr>
          <w:rFonts w:cs="Akhbar MT" w:hint="cs"/>
          <w:b/>
          <w:bCs/>
          <w:sz w:val="40"/>
          <w:szCs w:val="40"/>
          <w:rtl/>
        </w:rPr>
        <w:t>المخطط الإرشادي للمدينة المنورة</w:t>
      </w:r>
    </w:p>
    <w:p w:rsidR="00300FB9" w:rsidRPr="000B5054" w:rsidRDefault="00300FB9" w:rsidP="00300FB9">
      <w:pPr>
        <w:jc w:val="center"/>
        <w:rPr>
          <w:rFonts w:cs="Akhbar MT" w:hint="cs"/>
          <w:b/>
          <w:bCs/>
          <w:sz w:val="40"/>
          <w:szCs w:val="40"/>
          <w:rtl/>
        </w:rPr>
      </w:pPr>
      <w:r>
        <w:rPr>
          <w:rFonts w:cs="Akhbar MT" w:hint="cs"/>
          <w:b/>
          <w:bCs/>
          <w:sz w:val="40"/>
          <w:szCs w:val="40"/>
          <w:rtl/>
        </w:rPr>
        <w:t>( الرؤيا الشمولية لمستقبل المدينة المنورة )</w:t>
      </w:r>
    </w:p>
    <w:p w:rsidR="00300FB9" w:rsidRPr="001F6A31" w:rsidRDefault="00300FB9" w:rsidP="00300FB9">
      <w:pPr>
        <w:spacing w:before="360"/>
        <w:jc w:val="center"/>
        <w:rPr>
          <w:rFonts w:cs="Akhbar MT" w:hint="cs"/>
          <w:b/>
          <w:bCs/>
          <w:sz w:val="28"/>
          <w:szCs w:val="28"/>
          <w:rtl/>
        </w:rPr>
      </w:pPr>
      <w:r w:rsidRPr="001F6A31">
        <w:rPr>
          <w:rFonts w:cs="Akhbar MT" w:hint="cs"/>
          <w:b/>
          <w:bCs/>
          <w:sz w:val="28"/>
          <w:szCs w:val="28"/>
          <w:rtl/>
        </w:rPr>
        <w:t>إعداد</w:t>
      </w:r>
    </w:p>
    <w:p w:rsidR="00300FB9" w:rsidRPr="000B5054" w:rsidRDefault="00300FB9" w:rsidP="00300FB9">
      <w:pPr>
        <w:jc w:val="center"/>
        <w:rPr>
          <w:rFonts w:cs="Akhbar MT" w:hint="cs"/>
          <w:sz w:val="28"/>
          <w:szCs w:val="28"/>
          <w:rtl/>
        </w:rPr>
      </w:pPr>
      <w:r w:rsidRPr="000B5054">
        <w:rPr>
          <w:rFonts w:cs="Akhbar MT" w:hint="cs"/>
          <w:sz w:val="28"/>
          <w:szCs w:val="28"/>
          <w:rtl/>
        </w:rPr>
        <w:t xml:space="preserve">د. </w:t>
      </w:r>
      <w:r>
        <w:rPr>
          <w:rFonts w:cs="Akhbar MT" w:hint="cs"/>
          <w:sz w:val="28"/>
          <w:szCs w:val="28"/>
          <w:rtl/>
        </w:rPr>
        <w:t>عبدالعزيز عبدالرحمن كعكي</w:t>
      </w:r>
    </w:p>
    <w:p w:rsidR="00300FB9" w:rsidRPr="00C82276" w:rsidRDefault="00300FB9" w:rsidP="00300FB9">
      <w:pPr>
        <w:spacing w:before="240"/>
        <w:jc w:val="center"/>
        <w:rPr>
          <w:rFonts w:cs="AL-Mateen" w:hint="cs"/>
          <w:sz w:val="32"/>
          <w:szCs w:val="32"/>
          <w:rtl/>
        </w:rPr>
      </w:pPr>
      <w:r w:rsidRPr="00C82276">
        <w:rPr>
          <w:rFonts w:cs="AL-Mateen" w:hint="cs"/>
          <w:sz w:val="32"/>
          <w:szCs w:val="32"/>
          <w:rtl/>
        </w:rPr>
        <w:t>الملخص</w:t>
      </w:r>
    </w:p>
    <w:p w:rsidR="00300FB9" w:rsidRPr="00F32BC0" w:rsidRDefault="00300FB9" w:rsidP="00300FB9">
      <w:pPr>
        <w:pStyle w:val="a3"/>
        <w:numPr>
          <w:ilvl w:val="0"/>
          <w:numId w:val="1"/>
        </w:numPr>
        <w:spacing w:before="120" w:line="216" w:lineRule="auto"/>
        <w:ind w:left="714" w:hanging="357"/>
        <w:rPr>
          <w:rFonts w:ascii="Times New Roman" w:eastAsia="Times New Roman" w:hAnsi="Times New Roman" w:cs="Akhbar MT" w:hint="cs"/>
          <w:sz w:val="30"/>
          <w:szCs w:val="30"/>
        </w:rPr>
      </w:pPr>
      <w:r w:rsidRPr="00F32BC0">
        <w:rPr>
          <w:rFonts w:ascii="Times New Roman" w:eastAsia="Times New Roman" w:hAnsi="Times New Roman" w:cs="Akhbar MT" w:hint="cs"/>
          <w:sz w:val="30"/>
          <w:szCs w:val="30"/>
          <w:rtl/>
        </w:rPr>
        <w:t>بداية العملية التخطيطية في المدينة المنورة</w:t>
      </w:r>
    </w:p>
    <w:p w:rsidR="00300FB9" w:rsidRPr="00F32BC0" w:rsidRDefault="00300FB9" w:rsidP="00300FB9">
      <w:pPr>
        <w:pStyle w:val="a3"/>
        <w:numPr>
          <w:ilvl w:val="0"/>
          <w:numId w:val="1"/>
        </w:numPr>
        <w:spacing w:before="120" w:line="216" w:lineRule="auto"/>
        <w:ind w:left="714" w:hanging="357"/>
        <w:rPr>
          <w:rFonts w:ascii="Times New Roman" w:eastAsia="Times New Roman" w:hAnsi="Times New Roman" w:cs="Akhbar MT" w:hint="cs"/>
          <w:sz w:val="30"/>
          <w:szCs w:val="30"/>
        </w:rPr>
      </w:pPr>
      <w:r w:rsidRPr="00F32BC0">
        <w:rPr>
          <w:rFonts w:ascii="Times New Roman" w:eastAsia="Times New Roman" w:hAnsi="Times New Roman" w:cs="Akhbar MT" w:hint="cs"/>
          <w:sz w:val="30"/>
          <w:szCs w:val="30"/>
          <w:rtl/>
        </w:rPr>
        <w:t>الدراسات التخطيطية السابقة للمدينة المنورة</w:t>
      </w:r>
    </w:p>
    <w:p w:rsidR="00300FB9" w:rsidRPr="00F32BC0" w:rsidRDefault="00300FB9" w:rsidP="00300FB9">
      <w:pPr>
        <w:pStyle w:val="a3"/>
        <w:numPr>
          <w:ilvl w:val="0"/>
          <w:numId w:val="1"/>
        </w:numPr>
        <w:spacing w:before="120" w:line="216" w:lineRule="auto"/>
        <w:ind w:left="714" w:hanging="357"/>
        <w:rPr>
          <w:rFonts w:ascii="Times New Roman" w:eastAsia="Times New Roman" w:hAnsi="Times New Roman" w:cs="Akhbar MT"/>
          <w:sz w:val="30"/>
          <w:szCs w:val="30"/>
          <w:rtl/>
        </w:rPr>
      </w:pPr>
      <w:r w:rsidRPr="00F32BC0">
        <w:rPr>
          <w:rFonts w:ascii="Times New Roman" w:eastAsia="Times New Roman" w:hAnsi="Times New Roman" w:cs="Akhbar MT" w:hint="cs"/>
          <w:sz w:val="30"/>
          <w:szCs w:val="30"/>
          <w:rtl/>
        </w:rPr>
        <w:t>مبررات تحديث المخطط الارشادي</w:t>
      </w:r>
      <w:r w:rsidRPr="00F32BC0">
        <w:rPr>
          <w:rFonts w:ascii="Times New Roman" w:eastAsia="Times New Roman" w:hAnsi="Times New Roman" w:cs="Akhbar MT"/>
          <w:sz w:val="30"/>
          <w:szCs w:val="30"/>
          <w:rtl/>
        </w:rPr>
        <w:t xml:space="preserve"> . </w:t>
      </w:r>
    </w:p>
    <w:p w:rsidR="00300FB9" w:rsidRPr="00F32BC0" w:rsidRDefault="00300FB9" w:rsidP="00300FB9">
      <w:pPr>
        <w:pStyle w:val="a3"/>
        <w:numPr>
          <w:ilvl w:val="0"/>
          <w:numId w:val="1"/>
        </w:numPr>
        <w:spacing w:before="120" w:line="216" w:lineRule="auto"/>
        <w:ind w:left="714" w:hanging="357"/>
        <w:rPr>
          <w:rFonts w:ascii="Times New Roman" w:eastAsia="Times New Roman" w:hAnsi="Times New Roman" w:cs="Akhbar MT"/>
          <w:sz w:val="30"/>
          <w:szCs w:val="30"/>
          <w:rtl/>
        </w:rPr>
      </w:pPr>
      <w:r w:rsidRPr="00F32BC0">
        <w:rPr>
          <w:rFonts w:ascii="Times New Roman" w:eastAsia="Times New Roman" w:hAnsi="Times New Roman" w:cs="Akhbar MT" w:hint="cs"/>
          <w:sz w:val="30"/>
          <w:szCs w:val="30"/>
          <w:rtl/>
        </w:rPr>
        <w:t>ملامح المخطط الإرشادي المحدث لعام 1450هـ</w:t>
      </w:r>
    </w:p>
    <w:p w:rsidR="00300FB9" w:rsidRPr="00F32BC0" w:rsidRDefault="00300FB9" w:rsidP="00300FB9">
      <w:pPr>
        <w:pStyle w:val="a3"/>
        <w:numPr>
          <w:ilvl w:val="0"/>
          <w:numId w:val="1"/>
        </w:numPr>
        <w:spacing w:before="120" w:line="216" w:lineRule="auto"/>
        <w:ind w:left="714" w:hanging="357"/>
        <w:rPr>
          <w:rFonts w:ascii="Times New Roman" w:eastAsia="Times New Roman" w:hAnsi="Times New Roman" w:cs="Akhbar MT"/>
          <w:sz w:val="30"/>
          <w:szCs w:val="30"/>
          <w:rtl/>
        </w:rPr>
      </w:pPr>
      <w:r w:rsidRPr="00F32BC0">
        <w:rPr>
          <w:rFonts w:ascii="Times New Roman" w:eastAsia="Times New Roman" w:hAnsi="Times New Roman" w:cs="Akhbar MT" w:hint="cs"/>
          <w:sz w:val="30"/>
          <w:szCs w:val="30"/>
          <w:rtl/>
        </w:rPr>
        <w:t xml:space="preserve">السياسات العامة لتنمية المخطط الإرشادي( سياسات توزيع) . </w:t>
      </w:r>
    </w:p>
    <w:p w:rsidR="00300FB9" w:rsidRPr="00F32BC0" w:rsidRDefault="00300FB9" w:rsidP="00300FB9">
      <w:pPr>
        <w:pStyle w:val="a3"/>
        <w:numPr>
          <w:ilvl w:val="0"/>
          <w:numId w:val="1"/>
        </w:numPr>
        <w:spacing w:before="120" w:line="216" w:lineRule="auto"/>
        <w:ind w:left="714" w:hanging="357"/>
        <w:rPr>
          <w:rFonts w:ascii="Times New Roman" w:eastAsia="Times New Roman" w:hAnsi="Times New Roman" w:cs="Akhbar MT"/>
          <w:sz w:val="30"/>
          <w:szCs w:val="30"/>
          <w:rtl/>
        </w:rPr>
      </w:pPr>
      <w:r w:rsidRPr="00F32BC0">
        <w:rPr>
          <w:rFonts w:ascii="Times New Roman" w:eastAsia="Times New Roman" w:hAnsi="Times New Roman" w:cs="Akhbar MT" w:hint="cs"/>
          <w:sz w:val="30"/>
          <w:szCs w:val="30"/>
          <w:rtl/>
        </w:rPr>
        <w:t>من تطبيقات المخطط الإرشادي</w:t>
      </w:r>
      <w:r w:rsidRPr="00F32BC0">
        <w:rPr>
          <w:rFonts w:ascii="Times New Roman" w:eastAsia="Times New Roman" w:hAnsi="Times New Roman" w:cs="Akhbar MT"/>
          <w:sz w:val="30"/>
          <w:szCs w:val="30"/>
          <w:rtl/>
        </w:rPr>
        <w:t xml:space="preserve"> </w:t>
      </w:r>
    </w:p>
    <w:p w:rsidR="00300FB9" w:rsidRPr="00F32BC0" w:rsidRDefault="00300FB9" w:rsidP="00300FB9">
      <w:pPr>
        <w:pStyle w:val="a3"/>
        <w:numPr>
          <w:ilvl w:val="0"/>
          <w:numId w:val="1"/>
        </w:numPr>
        <w:spacing w:before="120" w:line="216" w:lineRule="auto"/>
        <w:ind w:left="714" w:hanging="357"/>
        <w:rPr>
          <w:rFonts w:ascii="Times New Roman" w:eastAsia="Times New Roman" w:hAnsi="Times New Roman" w:cs="Akhbar MT"/>
          <w:sz w:val="30"/>
          <w:szCs w:val="30"/>
          <w:rtl/>
        </w:rPr>
      </w:pPr>
      <w:r w:rsidRPr="00F32BC0">
        <w:rPr>
          <w:rFonts w:ascii="Times New Roman" w:eastAsia="Times New Roman" w:hAnsi="Times New Roman" w:cs="Akhbar MT" w:hint="cs"/>
          <w:sz w:val="30"/>
          <w:szCs w:val="30"/>
          <w:rtl/>
        </w:rPr>
        <w:t>الرؤية المستقبلية للمدينة المنورة</w:t>
      </w:r>
    </w:p>
    <w:p w:rsidR="00300FB9" w:rsidRPr="00F32BC0" w:rsidRDefault="00300FB9" w:rsidP="00300FB9">
      <w:pPr>
        <w:pStyle w:val="a3"/>
        <w:numPr>
          <w:ilvl w:val="0"/>
          <w:numId w:val="1"/>
        </w:numPr>
        <w:spacing w:before="120" w:line="216" w:lineRule="auto"/>
        <w:ind w:left="714" w:hanging="357"/>
        <w:rPr>
          <w:rFonts w:ascii="Times New Roman" w:eastAsia="Times New Roman" w:hAnsi="Times New Roman" w:cs="Akhbar MT" w:hint="cs"/>
          <w:sz w:val="30"/>
          <w:szCs w:val="30"/>
        </w:rPr>
      </w:pPr>
      <w:r w:rsidRPr="00F32BC0">
        <w:rPr>
          <w:rFonts w:ascii="Times New Roman" w:eastAsia="Times New Roman" w:hAnsi="Times New Roman" w:cs="Akhbar MT" w:hint="cs"/>
          <w:sz w:val="30"/>
          <w:szCs w:val="30"/>
          <w:rtl/>
        </w:rPr>
        <w:t>حاضرة المدينة المنورة</w:t>
      </w:r>
    </w:p>
    <w:p w:rsidR="00300FB9" w:rsidRPr="00F32BC0" w:rsidRDefault="00300FB9" w:rsidP="00300FB9">
      <w:pPr>
        <w:pStyle w:val="a3"/>
        <w:numPr>
          <w:ilvl w:val="0"/>
          <w:numId w:val="1"/>
        </w:numPr>
        <w:spacing w:before="120" w:line="216" w:lineRule="auto"/>
        <w:ind w:left="714" w:hanging="357"/>
        <w:rPr>
          <w:rFonts w:ascii="Times New Roman" w:eastAsia="Times New Roman" w:hAnsi="Times New Roman" w:cs="Akhbar MT" w:hint="cs"/>
          <w:sz w:val="30"/>
          <w:szCs w:val="30"/>
        </w:rPr>
      </w:pPr>
      <w:r w:rsidRPr="00F32BC0">
        <w:rPr>
          <w:rFonts w:ascii="Times New Roman" w:eastAsia="Times New Roman" w:hAnsi="Times New Roman" w:cs="Akhbar MT" w:hint="cs"/>
          <w:sz w:val="30"/>
          <w:szCs w:val="30"/>
          <w:rtl/>
        </w:rPr>
        <w:t>توصيات المخطط الارشادي</w:t>
      </w:r>
      <w:r w:rsidRPr="00F32BC0">
        <w:rPr>
          <w:rFonts w:ascii="Times New Roman" w:eastAsia="Times New Roman" w:hAnsi="Times New Roman" w:cs="Akhbar MT"/>
          <w:sz w:val="30"/>
          <w:szCs w:val="30"/>
          <w:rtl/>
        </w:rPr>
        <w:t xml:space="preserve"> للمدينة المنورة الكبرى عام 1450 هـ </w:t>
      </w:r>
    </w:p>
    <w:p w:rsidR="00F95FE9" w:rsidRPr="00300FB9" w:rsidRDefault="00A11B6B">
      <w:bookmarkStart w:id="0" w:name="_GoBack"/>
      <w:bookmarkEnd w:id="0"/>
    </w:p>
    <w:sectPr w:rsidR="00F95FE9" w:rsidRPr="00300FB9" w:rsidSect="008475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F2CC1"/>
    <w:multiLevelType w:val="hybridMultilevel"/>
    <w:tmpl w:val="007A8FEE"/>
    <w:lvl w:ilvl="0" w:tplc="100840C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B9"/>
    <w:rsid w:val="00090225"/>
    <w:rsid w:val="00300FB9"/>
    <w:rsid w:val="0084758D"/>
    <w:rsid w:val="00A1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FB9"/>
    <w:pPr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FB9"/>
    <w:pPr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معتز المحتسب</dc:creator>
  <cp:lastModifiedBy>معتز المحتسب</cp:lastModifiedBy>
  <cp:revision>2</cp:revision>
  <cp:lastPrinted>2020-02-25T11:24:00Z</cp:lastPrinted>
  <dcterms:created xsi:type="dcterms:W3CDTF">2020-02-25T11:24:00Z</dcterms:created>
  <dcterms:modified xsi:type="dcterms:W3CDTF">2020-02-25T11:24:00Z</dcterms:modified>
</cp:coreProperties>
</file>