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62" w:rsidRPr="0089225D" w:rsidRDefault="002C5962" w:rsidP="002C5962">
      <w:pPr>
        <w:jc w:val="center"/>
        <w:rPr>
          <w:rFonts w:cs="Akhbar MT"/>
          <w:b/>
          <w:bCs/>
          <w:sz w:val="40"/>
          <w:szCs w:val="40"/>
          <w:rtl/>
        </w:rPr>
      </w:pPr>
      <w:r w:rsidRPr="0089225D">
        <w:rPr>
          <w:rFonts w:cs="Akhbar MT" w:hint="cs"/>
          <w:b/>
          <w:bCs/>
          <w:sz w:val="40"/>
          <w:szCs w:val="40"/>
          <w:rtl/>
        </w:rPr>
        <w:t>كتاب الفتاوى مصدر من مصادر تاريخ المدينة المنورة</w:t>
      </w:r>
    </w:p>
    <w:p w:rsidR="002C5962" w:rsidRPr="0089225D" w:rsidRDefault="002C5962" w:rsidP="002C5962">
      <w:pPr>
        <w:jc w:val="center"/>
        <w:rPr>
          <w:rFonts w:cs="Akhbar MT"/>
          <w:b/>
          <w:bCs/>
          <w:sz w:val="40"/>
          <w:szCs w:val="40"/>
          <w:rtl/>
        </w:rPr>
      </w:pPr>
      <w:r w:rsidRPr="0089225D">
        <w:rPr>
          <w:rFonts w:cs="Akhbar MT" w:hint="cs"/>
          <w:b/>
          <w:bCs/>
          <w:sz w:val="40"/>
          <w:szCs w:val="40"/>
          <w:rtl/>
        </w:rPr>
        <w:t>(صور من الحياة في المدينة في القرنين الحادي عشر والثاني عشر الهجريين من خلال الفتاوى الكريمة)</w:t>
      </w:r>
    </w:p>
    <w:p w:rsidR="002C5962" w:rsidRPr="001F6A31" w:rsidRDefault="002C5962" w:rsidP="002C5962">
      <w:pPr>
        <w:spacing w:before="240"/>
        <w:jc w:val="center"/>
        <w:rPr>
          <w:rFonts w:cs="Akhbar MT" w:hint="cs"/>
          <w:b/>
          <w:bCs/>
          <w:sz w:val="28"/>
          <w:szCs w:val="28"/>
          <w:rtl/>
        </w:rPr>
      </w:pPr>
      <w:r w:rsidRPr="001F6A31">
        <w:rPr>
          <w:rFonts w:cs="Akhbar MT" w:hint="cs"/>
          <w:b/>
          <w:bCs/>
          <w:sz w:val="28"/>
          <w:szCs w:val="28"/>
          <w:rtl/>
        </w:rPr>
        <w:t>إعداد</w:t>
      </w:r>
    </w:p>
    <w:p w:rsidR="002C5962" w:rsidRDefault="002C5962" w:rsidP="002C5962">
      <w:pPr>
        <w:spacing w:line="168" w:lineRule="auto"/>
        <w:jc w:val="center"/>
        <w:rPr>
          <w:rFonts w:cs="Akhbar MT" w:hint="cs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د. مصطفى عمار ملا</w:t>
      </w:r>
    </w:p>
    <w:p w:rsidR="002C5962" w:rsidRPr="00524757" w:rsidRDefault="002C5962" w:rsidP="002C5962">
      <w:pPr>
        <w:spacing w:before="240"/>
        <w:jc w:val="center"/>
        <w:rPr>
          <w:rFonts w:cs="AL-Mateen" w:hint="cs"/>
          <w:sz w:val="32"/>
          <w:szCs w:val="32"/>
          <w:rtl/>
        </w:rPr>
      </w:pPr>
      <w:r w:rsidRPr="00524757">
        <w:rPr>
          <w:rFonts w:cs="AL-Mateen" w:hint="cs"/>
          <w:sz w:val="32"/>
          <w:szCs w:val="32"/>
          <w:rtl/>
        </w:rPr>
        <w:t>الملخص</w:t>
      </w:r>
    </w:p>
    <w:p w:rsidR="002C5962" w:rsidRPr="0089225D" w:rsidRDefault="002C5962" w:rsidP="002C5962">
      <w:pPr>
        <w:spacing w:before="80" w:line="216" w:lineRule="auto"/>
        <w:ind w:firstLine="720"/>
        <w:jc w:val="both"/>
        <w:rPr>
          <w:rFonts w:cs="Akhbar MT"/>
          <w:sz w:val="30"/>
          <w:szCs w:val="30"/>
          <w:rtl/>
        </w:rPr>
      </w:pPr>
      <w:r w:rsidRPr="0089225D">
        <w:rPr>
          <w:rFonts w:cs="Akhbar MT" w:hint="cs"/>
          <w:sz w:val="30"/>
          <w:szCs w:val="30"/>
          <w:rtl/>
        </w:rPr>
        <w:t xml:space="preserve">من خلال رحلتي في مخطوطات مكتبات المدينة المنورة عثرت على مجموعة من كتب الفتاوى تعتبر سجلاً كاملاً للحياة في المدينة المنورة في عدة عصور. ومن هذه الكتب الفتاوى </w:t>
      </w:r>
      <w:proofErr w:type="spellStart"/>
      <w:r w:rsidRPr="0089225D">
        <w:rPr>
          <w:rFonts w:cs="Akhbar MT" w:hint="cs"/>
          <w:sz w:val="30"/>
          <w:szCs w:val="30"/>
          <w:rtl/>
        </w:rPr>
        <w:t>الكريمية</w:t>
      </w:r>
      <w:proofErr w:type="spellEnd"/>
      <w:r w:rsidRPr="0089225D">
        <w:rPr>
          <w:rFonts w:cs="Akhbar MT" w:hint="cs"/>
          <w:sz w:val="30"/>
          <w:szCs w:val="30"/>
          <w:rtl/>
        </w:rPr>
        <w:t xml:space="preserve"> </w:t>
      </w:r>
      <w:proofErr w:type="spellStart"/>
      <w:r w:rsidRPr="0089225D">
        <w:rPr>
          <w:rFonts w:cs="Akhbar MT" w:hint="cs"/>
          <w:sz w:val="30"/>
          <w:szCs w:val="30"/>
          <w:rtl/>
        </w:rPr>
        <w:t>لمفتى</w:t>
      </w:r>
      <w:proofErr w:type="spellEnd"/>
      <w:r w:rsidRPr="0089225D">
        <w:rPr>
          <w:rFonts w:cs="Akhbar MT" w:hint="cs"/>
          <w:sz w:val="30"/>
          <w:szCs w:val="30"/>
          <w:rtl/>
        </w:rPr>
        <w:t xml:space="preserve"> المدينة وإمام وخطيب المسجد النبوي الشريف عبدالله عبدالكريم </w:t>
      </w:r>
      <w:proofErr w:type="spellStart"/>
      <w:r w:rsidRPr="0089225D">
        <w:rPr>
          <w:rFonts w:cs="Akhbar MT" w:hint="cs"/>
          <w:sz w:val="30"/>
          <w:szCs w:val="30"/>
          <w:rtl/>
        </w:rPr>
        <w:t>الخليفتي</w:t>
      </w:r>
      <w:proofErr w:type="spellEnd"/>
      <w:r w:rsidRPr="0089225D">
        <w:rPr>
          <w:rFonts w:cs="Akhbar MT" w:hint="cs"/>
          <w:sz w:val="30"/>
          <w:szCs w:val="30"/>
          <w:rtl/>
        </w:rPr>
        <w:t xml:space="preserve"> المتوفى سنة 1154 هـ وقد تضمنت هذه الفتاوى مجموعة كبيرة من القضايا التي شغلت أهل المدينة المنورة في القرنين الحادي عشر والثاني عشر الهجريين.</w:t>
      </w:r>
    </w:p>
    <w:p w:rsidR="002C5962" w:rsidRPr="0089225D" w:rsidRDefault="002C5962" w:rsidP="002C5962">
      <w:pPr>
        <w:spacing w:before="80" w:line="216" w:lineRule="auto"/>
        <w:ind w:firstLine="720"/>
        <w:jc w:val="both"/>
        <w:rPr>
          <w:rFonts w:cs="Akhbar MT"/>
          <w:sz w:val="30"/>
          <w:szCs w:val="30"/>
          <w:rtl/>
        </w:rPr>
      </w:pPr>
      <w:r w:rsidRPr="0089225D">
        <w:rPr>
          <w:rFonts w:cs="Akhbar MT" w:hint="cs"/>
          <w:sz w:val="30"/>
          <w:szCs w:val="30"/>
          <w:rtl/>
        </w:rPr>
        <w:t>وصنفتها بعد دراسة أولية للمخطوط إلى عدة جوانب:</w:t>
      </w:r>
    </w:p>
    <w:p w:rsidR="002C5962" w:rsidRPr="0089225D" w:rsidRDefault="002C5962" w:rsidP="002C5962">
      <w:pPr>
        <w:pStyle w:val="a3"/>
        <w:numPr>
          <w:ilvl w:val="0"/>
          <w:numId w:val="1"/>
        </w:numPr>
        <w:spacing w:before="80" w:line="216" w:lineRule="auto"/>
        <w:jc w:val="both"/>
        <w:rPr>
          <w:rFonts w:ascii="Times New Roman" w:eastAsia="Times New Roman" w:hAnsi="Times New Roman" w:cs="Akhbar MT"/>
          <w:sz w:val="30"/>
          <w:szCs w:val="30"/>
        </w:rPr>
      </w:pPr>
      <w:r w:rsidRPr="0089225D">
        <w:rPr>
          <w:rFonts w:ascii="Times New Roman" w:eastAsia="Times New Roman" w:hAnsi="Times New Roman" w:cs="Akhbar MT" w:hint="cs"/>
          <w:sz w:val="30"/>
          <w:szCs w:val="30"/>
          <w:rtl/>
        </w:rPr>
        <w:t>الحياة الدينية : وفيها عرض لكثير من القضايا التي تتناول العبادات  ، وقسم كبير منها يتناول عدة أمور حصلت بالمسجد النبوي الشريف مثل: أحكام الإمامة والمأمول ، أمور المؤذنين والفراشين و البوابين وغير ذلك.</w:t>
      </w:r>
    </w:p>
    <w:p w:rsidR="002C5962" w:rsidRPr="0089225D" w:rsidRDefault="002C5962" w:rsidP="002C5962">
      <w:pPr>
        <w:pStyle w:val="a3"/>
        <w:numPr>
          <w:ilvl w:val="0"/>
          <w:numId w:val="1"/>
        </w:numPr>
        <w:spacing w:before="80" w:line="216" w:lineRule="auto"/>
        <w:jc w:val="both"/>
        <w:rPr>
          <w:rFonts w:ascii="Times New Roman" w:eastAsia="Times New Roman" w:hAnsi="Times New Roman" w:cs="Akhbar MT"/>
          <w:sz w:val="30"/>
          <w:szCs w:val="30"/>
        </w:rPr>
      </w:pPr>
      <w:r w:rsidRPr="0089225D">
        <w:rPr>
          <w:rFonts w:ascii="Times New Roman" w:eastAsia="Times New Roman" w:hAnsi="Times New Roman" w:cs="Akhbar MT" w:hint="cs"/>
          <w:sz w:val="30"/>
          <w:szCs w:val="30"/>
          <w:rtl/>
        </w:rPr>
        <w:t xml:space="preserve">الحياة </w:t>
      </w:r>
      <w:proofErr w:type="spellStart"/>
      <w:r w:rsidRPr="0089225D">
        <w:rPr>
          <w:rFonts w:ascii="Times New Roman" w:eastAsia="Times New Roman" w:hAnsi="Times New Roman" w:cs="Akhbar MT" w:hint="cs"/>
          <w:sz w:val="30"/>
          <w:szCs w:val="30"/>
          <w:rtl/>
        </w:rPr>
        <w:t>الإجتماعية</w:t>
      </w:r>
      <w:proofErr w:type="spellEnd"/>
      <w:r w:rsidRPr="0089225D">
        <w:rPr>
          <w:rFonts w:ascii="Times New Roman" w:eastAsia="Times New Roman" w:hAnsi="Times New Roman" w:cs="Akhbar MT" w:hint="cs"/>
          <w:sz w:val="30"/>
          <w:szCs w:val="30"/>
          <w:rtl/>
        </w:rPr>
        <w:t xml:space="preserve"> : وفيها عرض لكثير من القضايا التي تتعلق بالعلاقات بين أهل المدينة ،والعادات التي كانت سائرة في تلك الفترة ، وذكر عدد من المشكلات التي ظهرت بالمجتمع المدني، وغير  ذلك.</w:t>
      </w:r>
    </w:p>
    <w:p w:rsidR="002C5962" w:rsidRPr="0089225D" w:rsidRDefault="002C5962" w:rsidP="002C5962">
      <w:pPr>
        <w:pStyle w:val="a3"/>
        <w:numPr>
          <w:ilvl w:val="0"/>
          <w:numId w:val="1"/>
        </w:numPr>
        <w:spacing w:before="80" w:line="216" w:lineRule="auto"/>
        <w:jc w:val="both"/>
        <w:rPr>
          <w:rFonts w:ascii="Times New Roman" w:eastAsia="Times New Roman" w:hAnsi="Times New Roman" w:cs="Akhbar MT"/>
          <w:sz w:val="30"/>
          <w:szCs w:val="30"/>
        </w:rPr>
      </w:pPr>
      <w:r w:rsidRPr="0089225D">
        <w:rPr>
          <w:rFonts w:ascii="Times New Roman" w:eastAsia="Times New Roman" w:hAnsi="Times New Roman" w:cs="Akhbar MT" w:hint="cs"/>
          <w:sz w:val="30"/>
          <w:szCs w:val="30"/>
          <w:rtl/>
        </w:rPr>
        <w:t xml:space="preserve">الحياة الاقتصادية: وفيها عرض لجوانب مختلفة من قضايا التجارة والمضاربة و الجراية والأوقاف و القروض و </w:t>
      </w:r>
      <w:proofErr w:type="spellStart"/>
      <w:r w:rsidRPr="0089225D">
        <w:rPr>
          <w:rFonts w:ascii="Times New Roman" w:eastAsia="Times New Roman" w:hAnsi="Times New Roman" w:cs="Akhbar MT" w:hint="cs"/>
          <w:sz w:val="30"/>
          <w:szCs w:val="30"/>
          <w:rtl/>
        </w:rPr>
        <w:t>التحابيس</w:t>
      </w:r>
      <w:proofErr w:type="spellEnd"/>
      <w:r w:rsidRPr="0089225D">
        <w:rPr>
          <w:rFonts w:ascii="Times New Roman" w:eastAsia="Times New Roman" w:hAnsi="Times New Roman" w:cs="Akhbar MT" w:hint="cs"/>
          <w:sz w:val="30"/>
          <w:szCs w:val="30"/>
          <w:rtl/>
        </w:rPr>
        <w:t xml:space="preserve"> و غير ذلك.</w:t>
      </w:r>
    </w:p>
    <w:p w:rsidR="002C5962" w:rsidRPr="0089225D" w:rsidRDefault="002C5962" w:rsidP="002C5962">
      <w:pPr>
        <w:pStyle w:val="a3"/>
        <w:numPr>
          <w:ilvl w:val="0"/>
          <w:numId w:val="1"/>
        </w:numPr>
        <w:spacing w:before="80" w:line="216" w:lineRule="auto"/>
        <w:jc w:val="both"/>
        <w:rPr>
          <w:rFonts w:ascii="Times New Roman" w:eastAsia="Times New Roman" w:hAnsi="Times New Roman" w:cs="Akhbar MT"/>
          <w:sz w:val="30"/>
          <w:szCs w:val="30"/>
        </w:rPr>
      </w:pPr>
      <w:r w:rsidRPr="0089225D">
        <w:rPr>
          <w:rFonts w:ascii="Times New Roman" w:eastAsia="Times New Roman" w:hAnsi="Times New Roman" w:cs="Akhbar MT" w:hint="cs"/>
          <w:sz w:val="30"/>
          <w:szCs w:val="30"/>
          <w:rtl/>
        </w:rPr>
        <w:t>الحياة السياسية: وفيها ذكر لعدد من القضايا التي تتعلق بطاعة ولي  الأمر و العلاقة مع الجند والعسكر وغير ذلك .</w:t>
      </w:r>
    </w:p>
    <w:p w:rsidR="002C5962" w:rsidRPr="0089225D" w:rsidRDefault="002C5962" w:rsidP="002C5962">
      <w:pPr>
        <w:pStyle w:val="a3"/>
        <w:numPr>
          <w:ilvl w:val="0"/>
          <w:numId w:val="1"/>
        </w:numPr>
        <w:spacing w:before="80" w:line="216" w:lineRule="auto"/>
        <w:jc w:val="both"/>
        <w:rPr>
          <w:rFonts w:ascii="Times New Roman" w:eastAsia="Times New Roman" w:hAnsi="Times New Roman" w:cs="Akhbar MT"/>
          <w:sz w:val="30"/>
          <w:szCs w:val="30"/>
        </w:rPr>
      </w:pPr>
      <w:r w:rsidRPr="0089225D">
        <w:rPr>
          <w:rFonts w:ascii="Times New Roman" w:eastAsia="Times New Roman" w:hAnsi="Times New Roman" w:cs="Akhbar MT" w:hint="cs"/>
          <w:sz w:val="30"/>
          <w:szCs w:val="30"/>
          <w:rtl/>
        </w:rPr>
        <w:t>الاحوال الشخصية: وفيها عرض لصور متعددة من المشكلات التي تتعلق بالمهور ، والطلاق ، والنفقات ,والحضانة ،والتركات وغيرها.</w:t>
      </w:r>
    </w:p>
    <w:p w:rsidR="002C5962" w:rsidRPr="0089225D" w:rsidRDefault="002C5962" w:rsidP="002C5962">
      <w:pPr>
        <w:pStyle w:val="a3"/>
        <w:spacing w:before="80" w:line="216" w:lineRule="auto"/>
        <w:ind w:left="1440"/>
        <w:jc w:val="both"/>
        <w:rPr>
          <w:rFonts w:ascii="Times New Roman" w:eastAsia="Times New Roman" w:hAnsi="Times New Roman" w:cs="Akhbar MT"/>
          <w:sz w:val="30"/>
          <w:szCs w:val="30"/>
          <w:rtl/>
        </w:rPr>
      </w:pPr>
      <w:r w:rsidRPr="0089225D">
        <w:rPr>
          <w:rFonts w:ascii="Times New Roman" w:eastAsia="Times New Roman" w:hAnsi="Times New Roman" w:cs="Akhbar MT" w:hint="cs"/>
          <w:sz w:val="30"/>
          <w:szCs w:val="30"/>
          <w:rtl/>
        </w:rPr>
        <w:t>وقد حلفت هذه المخطوطة بذكر كثير من أسماء المعالم و الأوقاف و الأعلام و الأسر.</w:t>
      </w:r>
    </w:p>
    <w:p w:rsidR="002C5962" w:rsidRPr="0089225D" w:rsidRDefault="002C5962" w:rsidP="002C5962">
      <w:pPr>
        <w:pStyle w:val="a3"/>
        <w:spacing w:before="80" w:line="216" w:lineRule="auto"/>
        <w:ind w:left="1440"/>
        <w:jc w:val="both"/>
        <w:rPr>
          <w:rFonts w:ascii="Times New Roman" w:eastAsia="Times New Roman" w:hAnsi="Times New Roman" w:cs="Akhbar MT"/>
          <w:sz w:val="30"/>
          <w:szCs w:val="30"/>
          <w:rtl/>
        </w:rPr>
      </w:pPr>
      <w:r w:rsidRPr="0089225D">
        <w:rPr>
          <w:rFonts w:ascii="Times New Roman" w:eastAsia="Times New Roman" w:hAnsi="Times New Roman" w:cs="Akhbar MT" w:hint="cs"/>
          <w:sz w:val="30"/>
          <w:szCs w:val="30"/>
          <w:rtl/>
        </w:rPr>
        <w:t xml:space="preserve">وختاماً فهذا عرض أولي لن تظهر تفاصيله إلا بدراسة مستفيضة لكل </w:t>
      </w:r>
      <w:proofErr w:type="spellStart"/>
      <w:r w:rsidRPr="0089225D">
        <w:rPr>
          <w:rFonts w:ascii="Times New Roman" w:eastAsia="Times New Roman" w:hAnsi="Times New Roman" w:cs="Akhbar MT" w:hint="cs"/>
          <w:sz w:val="30"/>
          <w:szCs w:val="30"/>
          <w:rtl/>
        </w:rPr>
        <w:t>ماورد</w:t>
      </w:r>
      <w:proofErr w:type="spellEnd"/>
      <w:r w:rsidRPr="0089225D">
        <w:rPr>
          <w:rFonts w:ascii="Times New Roman" w:eastAsia="Times New Roman" w:hAnsi="Times New Roman" w:cs="Akhbar MT" w:hint="cs"/>
          <w:sz w:val="30"/>
          <w:szCs w:val="30"/>
          <w:rtl/>
        </w:rPr>
        <w:t xml:space="preserve"> في هذه المخطوطة وهذا ما سأقوم به عند الموافقة على هذا الموضوع.</w:t>
      </w:r>
    </w:p>
    <w:p w:rsidR="00F95FE9" w:rsidRDefault="00E3515D">
      <w:bookmarkStart w:id="0" w:name="_GoBack"/>
      <w:bookmarkEnd w:id="0"/>
    </w:p>
    <w:sectPr w:rsidR="00F95FE9" w:rsidSect="008475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1888"/>
    <w:multiLevelType w:val="hybridMultilevel"/>
    <w:tmpl w:val="BCC2F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62"/>
    <w:rsid w:val="00090225"/>
    <w:rsid w:val="002C5962"/>
    <w:rsid w:val="0084758D"/>
    <w:rsid w:val="00E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962"/>
    <w:pPr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962"/>
    <w:pPr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معتز المحتسب</dc:creator>
  <cp:lastModifiedBy>معتز المحتسب</cp:lastModifiedBy>
  <cp:revision>2</cp:revision>
  <cp:lastPrinted>2020-02-25T11:16:00Z</cp:lastPrinted>
  <dcterms:created xsi:type="dcterms:W3CDTF">2020-02-25T11:16:00Z</dcterms:created>
  <dcterms:modified xsi:type="dcterms:W3CDTF">2020-02-25T11:17:00Z</dcterms:modified>
</cp:coreProperties>
</file>