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65" w:rsidRDefault="008D68EE" w:rsidP="008D68EE">
      <w:pPr>
        <w:bidi/>
        <w:ind w:firstLine="0"/>
        <w:jc w:val="center"/>
        <w:rPr>
          <w:rFonts w:ascii="Lotus Linotype" w:hAnsi="Lotus Linotype" w:cs="Lotus Linotype"/>
          <w:b/>
          <w:bCs/>
          <w:rtl/>
          <w:lang w:bidi="ar-EG"/>
        </w:rPr>
      </w:pPr>
      <w:r>
        <w:rPr>
          <w:rFonts w:ascii="Lotus Linotype" w:hAnsi="Lotus Linotype" w:cs="Lotus Linotype" w:hint="cs"/>
          <w:b/>
          <w:bCs/>
          <w:rtl/>
          <w:lang w:bidi="ar-EG"/>
        </w:rPr>
        <w:t>التقدير الاقتصادي لحد الاستطاعة في الحج وتحديد مدى الالتزام به</w:t>
      </w:r>
    </w:p>
    <w:p w:rsidR="008D68EE" w:rsidRDefault="008D68EE" w:rsidP="008D68EE">
      <w:pPr>
        <w:bidi/>
        <w:ind w:firstLine="0"/>
        <w:jc w:val="center"/>
        <w:rPr>
          <w:rFonts w:ascii="Lotus Linotype" w:hAnsi="Lotus Linotype" w:cs="Lotus Linotype"/>
          <w:rtl/>
          <w:lang w:bidi="ar-EG"/>
        </w:rPr>
      </w:pPr>
      <w:r>
        <w:rPr>
          <w:rFonts w:ascii="Lotus Linotype" w:hAnsi="Lotus Linotype" w:cs="Lotus Linotype" w:hint="cs"/>
          <w:rtl/>
          <w:lang w:bidi="ar-EG"/>
        </w:rPr>
        <w:t>دراسة من إعداد</w:t>
      </w:r>
    </w:p>
    <w:p w:rsidR="008D68EE" w:rsidRDefault="008D68EE" w:rsidP="008D68EE">
      <w:pPr>
        <w:bidi/>
        <w:ind w:firstLine="0"/>
        <w:jc w:val="center"/>
        <w:rPr>
          <w:rFonts w:ascii="Lotus Linotype" w:hAnsi="Lotus Linotype" w:cs="Lotus Linotype"/>
          <w:rtl/>
          <w:lang w:bidi="ar-EG"/>
        </w:rPr>
      </w:pPr>
      <w:r>
        <w:rPr>
          <w:rFonts w:ascii="Lotus Linotype" w:hAnsi="Lotus Linotype" w:cs="Lotus Linotype" w:hint="cs"/>
          <w:rtl/>
          <w:lang w:bidi="ar-EG"/>
        </w:rPr>
        <w:t>د. أحمد بن حسن الحسني</w:t>
      </w:r>
    </w:p>
    <w:p w:rsidR="008D68EE" w:rsidRPr="008D68EE" w:rsidRDefault="008D68EE" w:rsidP="008D68EE">
      <w:pPr>
        <w:bidi/>
        <w:ind w:firstLine="0"/>
        <w:jc w:val="center"/>
        <w:rPr>
          <w:rFonts w:ascii="Lotus Linotype" w:hAnsi="Lotus Linotype" w:cs="Lotus Linotype"/>
          <w:rtl/>
          <w:lang w:bidi="ar-EG"/>
        </w:rPr>
      </w:pPr>
      <w:r>
        <w:rPr>
          <w:rFonts w:ascii="Lotus Linotype" w:hAnsi="Lotus Linotype" w:cs="Lotus Linotype" w:hint="cs"/>
          <w:rtl/>
          <w:lang w:bidi="ar-EG"/>
        </w:rPr>
        <w:t>أ. د. عبد القادر محمد عطية</w:t>
      </w:r>
    </w:p>
    <w:p w:rsidR="008D68EE" w:rsidRPr="008D68EE" w:rsidRDefault="008D68EE" w:rsidP="008D68EE">
      <w:pPr>
        <w:bidi/>
        <w:ind w:firstLine="0"/>
        <w:rPr>
          <w:rFonts w:ascii="Lotus Linotype" w:hAnsi="Lotus Linotype" w:cs="Lotus Linotype"/>
          <w:b/>
          <w:bCs/>
          <w:rtl/>
          <w:lang w:bidi="ar-EG"/>
        </w:rPr>
      </w:pPr>
      <w:r>
        <w:rPr>
          <w:rFonts w:ascii="Lotus Linotype" w:hAnsi="Lotus Linotype" w:cs="Lotus Linotype" w:hint="cs"/>
          <w:b/>
          <w:bCs/>
          <w:rtl/>
          <w:lang w:bidi="ar-EG"/>
        </w:rPr>
        <w:t>مقدمة الدراسة:-</w:t>
      </w:r>
    </w:p>
    <w:p w:rsidR="008D68EE" w:rsidRDefault="008D68EE" w:rsidP="008D68EE">
      <w:pPr>
        <w:bidi/>
        <w:ind w:firstLine="567"/>
        <w:rPr>
          <w:rFonts w:ascii="Lotus Linotype" w:hAnsi="Lotus Linotype" w:cs="Lotus Linotype"/>
          <w:rtl/>
          <w:lang w:bidi="ar-EG"/>
        </w:rPr>
      </w:pPr>
      <w:r>
        <w:rPr>
          <w:rFonts w:ascii="Lotus Linotype" w:hAnsi="Lotus Linotype" w:cs="Lotus Linotype" w:hint="cs"/>
          <w:rtl/>
          <w:lang w:bidi="ar-EG"/>
        </w:rPr>
        <w:t>من بين الظواهر السلبية التي تظهر أثناء موسم الحج الزحام الشديد في كل من مكة المكرمة والمدينة المنورة بوجه عام، وفي اماكن العبادة والمشاعر المقدسة بوجه خاص، بالإضافة إلى انتشار ظاهرتي الافتراش والتسول، ولعل من أسباب هذه الظواهر قدوم بعض المسلمين غير القادرين على تحمل تكاليف الحج بالرغم من أنه قد لا يكون مفروضًا عليهم؛ فكما هو معلوم أنّ من شروط وجوب الحج الاستطاعة</w:t>
      </w:r>
      <w:r w:rsidR="005C596F">
        <w:rPr>
          <w:rFonts w:ascii="Lotus Linotype" w:hAnsi="Lotus Linotype" w:cs="Lotus Linotype" w:hint="cs"/>
          <w:rtl/>
          <w:lang w:bidi="ar-EG"/>
        </w:rPr>
        <w:t>؛ حيث يقول سبحانه وتعالى: ﴿</w:t>
      </w:r>
      <w:r w:rsidR="005C596F" w:rsidRPr="00A24F5A">
        <w:rPr>
          <w:rFonts w:ascii="Lotus Linotype" w:hAnsi="Lotus Linotype" w:cs="Lotus Linotype"/>
          <w:rtl/>
          <w:lang w:bidi="ar-EG"/>
        </w:rPr>
        <w:t>وَلِلَّهِ عَلَى النَّاسِ حِجُّ الْبَيْتِ مَنِ اسْتَطَاعَ إِلَيْهِ سَبِيلًا</w:t>
      </w:r>
      <w:r w:rsidR="005C596F">
        <w:rPr>
          <w:rFonts w:ascii="Lotus Linotype" w:hAnsi="Lotus Linotype" w:cs="Lotus Linotype" w:hint="cs"/>
          <w:rtl/>
          <w:lang w:bidi="ar-EG"/>
        </w:rPr>
        <w:t>﴾ [</w:t>
      </w:r>
      <w:r w:rsidR="00A24F5A">
        <w:rPr>
          <w:rFonts w:ascii="Lotus Linotype" w:hAnsi="Lotus Linotype" w:cs="Lotus Linotype" w:hint="cs"/>
          <w:rtl/>
          <w:lang w:bidi="ar-EG"/>
        </w:rPr>
        <w:t>آل عمران: 67]، ومن هنا تبرز ضرورة الاهتمام بتقدير حد الاستطاعة في الحج الذي يشير إلى القيمة التي يتعين أن تتوفر لدى الفرد حتى يكون مستطيعًا، ولا شك أن تقدير حد الاستطاعة يساعد المسلمين على تطبيق شرع الله في هذا الصدد.</w:t>
      </w:r>
    </w:p>
    <w:p w:rsidR="00A24F5A" w:rsidRPr="00A24F5A" w:rsidRDefault="00A24F5A" w:rsidP="00A24F5A">
      <w:pPr>
        <w:bidi/>
        <w:ind w:firstLine="0"/>
        <w:rPr>
          <w:rFonts w:ascii="Lotus Linotype" w:hAnsi="Lotus Linotype" w:cs="Lotus Linotype"/>
          <w:b/>
          <w:bCs/>
          <w:rtl/>
          <w:lang w:bidi="ar-EG"/>
        </w:rPr>
      </w:pPr>
      <w:r>
        <w:rPr>
          <w:rFonts w:ascii="Lotus Linotype" w:hAnsi="Lotus Linotype" w:cs="Lotus Linotype" w:hint="cs"/>
          <w:b/>
          <w:bCs/>
          <w:rtl/>
          <w:lang w:bidi="ar-EG"/>
        </w:rPr>
        <w:t>أهداف البحث:-</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t>تهدف الدراسة إلى تقدير حد الاستطاعة في الحج لعدد إحدى عشرة جنسية من حجاج الخارج، وتحديد مدى الالتزام به من قبل هذه الجنسيات، ويمكن حصر أهداف الدراسة بصورة محدد في ثلاث نقاط:</w:t>
      </w:r>
    </w:p>
    <w:p w:rsidR="00A24F5A" w:rsidRDefault="00A24F5A" w:rsidP="00A24F5A">
      <w:pPr>
        <w:pStyle w:val="ListParagraph"/>
        <w:numPr>
          <w:ilvl w:val="0"/>
          <w:numId w:val="17"/>
        </w:numPr>
        <w:bidi/>
        <w:rPr>
          <w:rFonts w:ascii="Lotus Linotype" w:hAnsi="Lotus Linotype" w:cs="Lotus Linotype"/>
          <w:lang w:bidi="ar-EG"/>
        </w:rPr>
      </w:pPr>
      <w:r>
        <w:rPr>
          <w:rFonts w:ascii="Lotus Linotype" w:hAnsi="Lotus Linotype" w:cs="Lotus Linotype" w:hint="cs"/>
          <w:rtl/>
          <w:lang w:bidi="ar-EG"/>
        </w:rPr>
        <w:t>قياس حد الاستطاعة في الحج وفقًا لما حددته الشريعة الإسلامية من شروط.</w:t>
      </w:r>
    </w:p>
    <w:p w:rsidR="00A24F5A" w:rsidRDefault="00A24F5A" w:rsidP="00A24F5A">
      <w:pPr>
        <w:pStyle w:val="ListParagraph"/>
        <w:numPr>
          <w:ilvl w:val="0"/>
          <w:numId w:val="17"/>
        </w:numPr>
        <w:bidi/>
        <w:rPr>
          <w:rFonts w:ascii="Lotus Linotype" w:hAnsi="Lotus Linotype" w:cs="Lotus Linotype"/>
          <w:lang w:bidi="ar-EG"/>
        </w:rPr>
      </w:pPr>
      <w:r>
        <w:rPr>
          <w:rFonts w:ascii="Lotus Linotype" w:hAnsi="Lotus Linotype" w:cs="Lotus Linotype" w:hint="cs"/>
          <w:rtl/>
          <w:lang w:bidi="ar-EG"/>
        </w:rPr>
        <w:t>تحديد مدى التزام المسلمين القادمين من مختلف الدول بحد الاستطاعة.</w:t>
      </w:r>
    </w:p>
    <w:p w:rsidR="00A24F5A" w:rsidRPr="00A24F5A" w:rsidRDefault="00A24F5A" w:rsidP="00A24F5A">
      <w:pPr>
        <w:pStyle w:val="ListParagraph"/>
        <w:numPr>
          <w:ilvl w:val="0"/>
          <w:numId w:val="17"/>
        </w:numPr>
        <w:bidi/>
        <w:rPr>
          <w:rFonts w:ascii="Lotus Linotype" w:hAnsi="Lotus Linotype" w:cs="Lotus Linotype"/>
          <w:rtl/>
          <w:lang w:bidi="ar-EG"/>
        </w:rPr>
      </w:pPr>
      <w:r>
        <w:rPr>
          <w:rFonts w:ascii="Lotus Linotype" w:hAnsi="Lotus Linotype" w:cs="Lotus Linotype" w:hint="cs"/>
          <w:rtl/>
          <w:lang w:bidi="ar-EG"/>
        </w:rPr>
        <w:t>بناء قاعدة بيانات اقتصادية عن إنفاق الحجاج في مختلف المجالات.</w:t>
      </w:r>
    </w:p>
    <w:p w:rsidR="00A24F5A" w:rsidRPr="00A24F5A" w:rsidRDefault="00A24F5A" w:rsidP="00A24F5A">
      <w:pPr>
        <w:bidi/>
        <w:ind w:firstLine="0"/>
        <w:rPr>
          <w:rFonts w:ascii="Lotus Linotype" w:hAnsi="Lotus Linotype" w:cs="Lotus Linotype"/>
          <w:b/>
          <w:bCs/>
          <w:rtl/>
          <w:lang w:bidi="ar-EG"/>
        </w:rPr>
      </w:pPr>
      <w:r>
        <w:rPr>
          <w:rFonts w:ascii="Lotus Linotype" w:hAnsi="Lotus Linotype" w:cs="Lotus Linotype" w:hint="cs"/>
          <w:b/>
          <w:bCs/>
          <w:rtl/>
          <w:lang w:bidi="ar-EG"/>
        </w:rPr>
        <w:t>خطة الدراسة:-</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t>تقع هذه الدراسة في تسعة مباحث بالإضافة إلى المقدمة وأهداف الدراسة وأهميتها، وتتمثل هذه المباحث في:</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t>المبحث الأول: المفهوم الشرعي للاستطاعة في الحج.</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t>المبحث الثاني: المفهوم الاقتصادي لحد الاستطاعة في الحج.</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t>المبحث الثالث: عناصر حد الاستطاعة في الحج.</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lastRenderedPageBreak/>
        <w:t>المبحث الرابع: وصف عينات الدراسة.</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t>المبحث الخامس: التقدير الاقتصادي لحد الاستطاعة في الحج.</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t>المبحث السادس: تحديد مدى الالتزام بحد الاستطاعة في الحج.</w:t>
      </w:r>
    </w:p>
    <w:p w:rsidR="00A24F5A" w:rsidRDefault="00A24F5A" w:rsidP="00A24F5A">
      <w:pPr>
        <w:bidi/>
        <w:ind w:firstLine="567"/>
        <w:rPr>
          <w:rFonts w:ascii="Lotus Linotype" w:hAnsi="Lotus Linotype" w:cs="Lotus Linotype"/>
          <w:rtl/>
          <w:lang w:bidi="ar-EG"/>
        </w:rPr>
      </w:pPr>
      <w:r>
        <w:rPr>
          <w:rFonts w:ascii="Lotus Linotype" w:hAnsi="Lotus Linotype" w:cs="Lotus Linotype" w:hint="cs"/>
          <w:rtl/>
          <w:lang w:bidi="ar-EG"/>
        </w:rPr>
        <w:t>المبحث السابع: تنظيم الحج في الدول الإسلامية وعلاقته بالاستطاعة.</w:t>
      </w:r>
    </w:p>
    <w:p w:rsidR="00BD2F92" w:rsidRDefault="00BD2F92" w:rsidP="00BD2F92">
      <w:pPr>
        <w:bidi/>
        <w:ind w:firstLine="567"/>
        <w:rPr>
          <w:rFonts w:ascii="Lotus Linotype" w:hAnsi="Lotus Linotype" w:cs="Lotus Linotype"/>
          <w:rtl/>
          <w:lang w:bidi="ar-EG"/>
        </w:rPr>
      </w:pPr>
      <w:r>
        <w:rPr>
          <w:rFonts w:ascii="Lotus Linotype" w:hAnsi="Lotus Linotype" w:cs="Lotus Linotype" w:hint="cs"/>
          <w:rtl/>
          <w:lang w:bidi="ar-EG"/>
        </w:rPr>
        <w:t>المبحث الثامن: تقدير القيمة المتوقعة لحد الاستطاعة في الحج.</w:t>
      </w:r>
    </w:p>
    <w:p w:rsidR="00BD2F92" w:rsidRDefault="00BD2F92" w:rsidP="00BD2F92">
      <w:pPr>
        <w:bidi/>
        <w:ind w:firstLine="567"/>
        <w:rPr>
          <w:rFonts w:ascii="Lotus Linotype" w:hAnsi="Lotus Linotype" w:cs="Lotus Linotype"/>
          <w:rtl/>
          <w:lang w:bidi="ar-EG"/>
        </w:rPr>
      </w:pPr>
      <w:r>
        <w:rPr>
          <w:rFonts w:ascii="Lotus Linotype" w:hAnsi="Lotus Linotype" w:cs="Lotus Linotype" w:hint="cs"/>
          <w:rtl/>
          <w:lang w:bidi="ar-EG"/>
        </w:rPr>
        <w:t>المبحث التاسع: نتائج وتوصيات.</w:t>
      </w:r>
    </w:p>
    <w:p w:rsidR="00BD2F92" w:rsidRPr="00BD2F92" w:rsidRDefault="00BD2F92" w:rsidP="00BD2F92">
      <w:pPr>
        <w:bidi/>
        <w:ind w:firstLine="0"/>
        <w:rPr>
          <w:rFonts w:ascii="Lotus Linotype" w:hAnsi="Lotus Linotype" w:cs="Lotus Linotype"/>
          <w:b/>
          <w:bCs/>
          <w:rtl/>
          <w:lang w:bidi="ar-EG"/>
        </w:rPr>
      </w:pPr>
      <w:r>
        <w:rPr>
          <w:rFonts w:ascii="Lotus Linotype" w:hAnsi="Lotus Linotype" w:cs="Lotus Linotype" w:hint="cs"/>
          <w:b/>
          <w:bCs/>
          <w:rtl/>
          <w:lang w:bidi="ar-EG"/>
        </w:rPr>
        <w:t>عينات الدراسة:-</w:t>
      </w:r>
    </w:p>
    <w:p w:rsidR="00BD2F92" w:rsidRDefault="00BD2F92" w:rsidP="00BD2F92">
      <w:pPr>
        <w:bidi/>
        <w:ind w:firstLine="567"/>
        <w:rPr>
          <w:rFonts w:ascii="Lotus Linotype" w:hAnsi="Lotus Linotype" w:cs="Lotus Linotype"/>
          <w:rtl/>
          <w:lang w:bidi="ar-EG"/>
        </w:rPr>
      </w:pPr>
      <w:r>
        <w:rPr>
          <w:rFonts w:ascii="Lotus Linotype" w:hAnsi="Lotus Linotype" w:cs="Lotus Linotype" w:hint="cs"/>
          <w:rtl/>
          <w:lang w:bidi="ar-EG"/>
        </w:rPr>
        <w:t>اعتمدت هذه الدراسة على خمسة أنواع من العينات هي: عينة الدول التي بلغ عددها إحدى عشرة دولة، وعينة الحجاج التي بلغ عددها 1916 حاجًا، وعينة الوحدات السكنية التي بلغ عددها 294 موزعة بين مكة المكرمة والمدينة المنورة بنسبة 70% ، 30% على التوالي، وعينة المطاعم التي بلغ عددها 112 مطعمًا موزعة بين مكة المكرمة والمدينة المنورة بنسبة 73% ، 27% على التوالي، وعينة مؤسسات الطوافة التي بلغ عددها 6 مؤسسات.</w:t>
      </w:r>
    </w:p>
    <w:p w:rsidR="008554BA" w:rsidRPr="008554BA" w:rsidRDefault="008554BA" w:rsidP="008554BA">
      <w:pPr>
        <w:bidi/>
        <w:ind w:firstLine="0"/>
        <w:rPr>
          <w:rFonts w:ascii="Lotus Linotype" w:hAnsi="Lotus Linotype" w:cs="Lotus Linotype"/>
          <w:b/>
          <w:bCs/>
          <w:rtl/>
          <w:lang w:bidi="ar-EG"/>
        </w:rPr>
      </w:pPr>
      <w:r>
        <w:rPr>
          <w:rFonts w:ascii="Lotus Linotype" w:hAnsi="Lotus Linotype" w:cs="Lotus Linotype" w:hint="cs"/>
          <w:b/>
          <w:bCs/>
          <w:rtl/>
          <w:lang w:bidi="ar-EG"/>
        </w:rPr>
        <w:t>بعض نتائج الدراسة:-</w:t>
      </w:r>
    </w:p>
    <w:p w:rsidR="008554BA" w:rsidRDefault="008554BA" w:rsidP="008554BA">
      <w:pPr>
        <w:pStyle w:val="ListParagraph"/>
        <w:numPr>
          <w:ilvl w:val="0"/>
          <w:numId w:val="18"/>
        </w:numPr>
        <w:bidi/>
        <w:rPr>
          <w:rFonts w:ascii="Lotus Linotype" w:hAnsi="Lotus Linotype" w:cs="Lotus Linotype"/>
          <w:lang w:bidi="ar-EG"/>
        </w:rPr>
      </w:pPr>
      <w:r>
        <w:rPr>
          <w:rFonts w:ascii="Lotus Linotype" w:hAnsi="Lotus Linotype" w:cs="Lotus Linotype" w:hint="cs"/>
          <w:rtl/>
          <w:lang w:bidi="ar-EG"/>
        </w:rPr>
        <w:t>تقدير حد الاستطاعة في الحج: تتباين قيم حد الاستطاعة من دولة إلى أخرى، فلا يوجد هناك حد استطاعة واحد لجميع الحجاج، وإنما يوجد أكثر من مستوى تبعًا لعدد من العوامل ووفقًا لبيانات عام 1420هـ كان أعلى حد استطاعة بالعينة هو للحاج الذي يأتي من نيجيريا جوًا، وأدنى حد استطاعة كان للحاج الذي يأتي من سوريا عن طريق البر، وقد بلغ الحد الأول 9053 ريال سعودي في حين بلغ الأخير 3085 ريال سعودي شاملاً زيارة كل من مكة المكرمة والمدينة المنورة.</w:t>
      </w:r>
    </w:p>
    <w:p w:rsidR="008554BA" w:rsidRDefault="008554BA" w:rsidP="008554BA">
      <w:pPr>
        <w:pStyle w:val="ListParagraph"/>
        <w:numPr>
          <w:ilvl w:val="0"/>
          <w:numId w:val="18"/>
        </w:numPr>
        <w:bidi/>
        <w:rPr>
          <w:rFonts w:ascii="Lotus Linotype" w:hAnsi="Lotus Linotype" w:cs="Lotus Linotype"/>
          <w:lang w:bidi="ar-EG"/>
        </w:rPr>
      </w:pPr>
      <w:r>
        <w:rPr>
          <w:rFonts w:ascii="Lotus Linotype" w:hAnsi="Lotus Linotype" w:cs="Lotus Linotype" w:hint="cs"/>
          <w:rtl/>
          <w:lang w:bidi="ar-EG"/>
        </w:rPr>
        <w:t>هيكل حد الاستطاعة: يختلف هيكل حد الاستطاعة من دولة لأخرى، ويوضح الجدول التالي هذا الهيكل كمتوسط لمستوى دول العينة:</w:t>
      </w:r>
    </w:p>
    <w:p w:rsidR="00FD1D0A" w:rsidRPr="00FD1D0A" w:rsidRDefault="00FD1D0A" w:rsidP="00FD1D0A">
      <w:pPr>
        <w:bidi/>
        <w:ind w:firstLine="0"/>
        <w:jc w:val="center"/>
        <w:rPr>
          <w:rFonts w:ascii="Lotus Linotype" w:hAnsi="Lotus Linotype" w:cs="Lotus Linotype"/>
          <w:b/>
          <w:bCs/>
          <w:rtl/>
          <w:lang w:bidi="ar-EG"/>
        </w:rPr>
      </w:pPr>
      <w:r>
        <w:rPr>
          <w:rFonts w:ascii="Lotus Linotype" w:hAnsi="Lotus Linotype" w:cs="Lotus Linotype" w:hint="cs"/>
          <w:b/>
          <w:bCs/>
          <w:rtl/>
          <w:lang w:bidi="ar-EG"/>
        </w:rPr>
        <w:t>هيكل حد الاستطاعة في الحج في دول العينة بموسم 1420هـ</w:t>
      </w:r>
    </w:p>
    <w:tbl>
      <w:tblPr>
        <w:tblStyle w:val="TableGrid"/>
        <w:bidiVisual/>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7"/>
        <w:gridCol w:w="3643"/>
        <w:gridCol w:w="2131"/>
        <w:gridCol w:w="2131"/>
      </w:tblGrid>
      <w:tr w:rsidR="00FD1D0A" w:rsidRPr="00322BBB" w:rsidTr="00016736">
        <w:trPr>
          <w:tblHeader/>
          <w:jc w:val="center"/>
        </w:trPr>
        <w:tc>
          <w:tcPr>
            <w:tcW w:w="617" w:type="dxa"/>
            <w:tcBorders>
              <w:top w:val="double" w:sz="4" w:space="0" w:color="auto"/>
              <w:bottom w:val="double" w:sz="4" w:space="0" w:color="auto"/>
            </w:tcBorders>
            <w:vAlign w:val="center"/>
          </w:tcPr>
          <w:p w:rsidR="00FD1D0A" w:rsidRPr="00322BBB" w:rsidRDefault="00FD1D0A" w:rsidP="00322BBB">
            <w:pPr>
              <w:bidi/>
              <w:ind w:firstLine="0"/>
              <w:jc w:val="center"/>
              <w:rPr>
                <w:rFonts w:ascii="Lotus Linotype" w:hAnsi="Lotus Linotype" w:cs="Lotus Linotype"/>
                <w:sz w:val="24"/>
                <w:szCs w:val="24"/>
                <w:rtl/>
                <w:lang w:bidi="ar-EG"/>
              </w:rPr>
            </w:pPr>
            <w:r w:rsidRPr="00322BBB">
              <w:rPr>
                <w:rFonts w:ascii="Lotus Linotype" w:hAnsi="Lotus Linotype" w:cs="Lotus Linotype" w:hint="cs"/>
                <w:sz w:val="24"/>
                <w:szCs w:val="24"/>
                <w:rtl/>
                <w:lang w:bidi="ar-EG"/>
              </w:rPr>
              <w:t>م</w:t>
            </w:r>
          </w:p>
        </w:tc>
        <w:tc>
          <w:tcPr>
            <w:tcW w:w="3643" w:type="dxa"/>
            <w:tcBorders>
              <w:top w:val="double" w:sz="4" w:space="0" w:color="auto"/>
              <w:bottom w:val="double" w:sz="4" w:space="0" w:color="auto"/>
            </w:tcBorders>
            <w:vAlign w:val="center"/>
          </w:tcPr>
          <w:p w:rsidR="00FD1D0A" w:rsidRPr="00322BBB" w:rsidRDefault="00FD1D0A" w:rsidP="00322BBB">
            <w:pPr>
              <w:bidi/>
              <w:ind w:firstLine="0"/>
              <w:jc w:val="center"/>
              <w:rPr>
                <w:rFonts w:ascii="Lotus Linotype" w:hAnsi="Lotus Linotype" w:cs="Lotus Linotype"/>
                <w:sz w:val="24"/>
                <w:szCs w:val="24"/>
                <w:rtl/>
                <w:lang w:bidi="ar-EG"/>
              </w:rPr>
            </w:pPr>
            <w:r w:rsidRPr="00322BBB">
              <w:rPr>
                <w:rFonts w:ascii="Lotus Linotype" w:hAnsi="Lotus Linotype" w:cs="Lotus Linotype" w:hint="cs"/>
                <w:sz w:val="24"/>
                <w:szCs w:val="24"/>
                <w:rtl/>
                <w:lang w:bidi="ar-EG"/>
              </w:rPr>
              <w:t>بند</w:t>
            </w:r>
          </w:p>
        </w:tc>
        <w:tc>
          <w:tcPr>
            <w:tcW w:w="2131" w:type="dxa"/>
            <w:tcBorders>
              <w:top w:val="double" w:sz="4" w:space="0" w:color="auto"/>
              <w:bottom w:val="double" w:sz="4" w:space="0" w:color="auto"/>
            </w:tcBorders>
            <w:vAlign w:val="center"/>
          </w:tcPr>
          <w:p w:rsidR="00FD1D0A" w:rsidRPr="00322BBB" w:rsidRDefault="00FD1D0A" w:rsidP="00322BBB">
            <w:pPr>
              <w:bidi/>
              <w:ind w:firstLine="0"/>
              <w:jc w:val="center"/>
              <w:rPr>
                <w:rFonts w:ascii="Lotus Linotype" w:hAnsi="Lotus Linotype" w:cs="Lotus Linotype"/>
                <w:sz w:val="24"/>
                <w:szCs w:val="24"/>
                <w:rtl/>
                <w:lang w:bidi="ar-EG"/>
              </w:rPr>
            </w:pPr>
            <w:r w:rsidRPr="00322BBB">
              <w:rPr>
                <w:rFonts w:ascii="Lotus Linotype" w:hAnsi="Lotus Linotype" w:cs="Lotus Linotype" w:hint="cs"/>
                <w:sz w:val="24"/>
                <w:szCs w:val="24"/>
                <w:rtl/>
                <w:lang w:bidi="ar-EG"/>
              </w:rPr>
              <w:t>متوسط مرج</w:t>
            </w:r>
            <w:r w:rsidR="00322BBB" w:rsidRPr="00322BBB">
              <w:rPr>
                <w:rFonts w:ascii="Lotus Linotype" w:hAnsi="Lotus Linotype" w:cs="Lotus Linotype" w:hint="cs"/>
                <w:sz w:val="24"/>
                <w:szCs w:val="24"/>
                <w:rtl/>
                <w:lang w:bidi="ar-EG"/>
              </w:rPr>
              <w:t>ع</w:t>
            </w:r>
            <w:r w:rsidRPr="00322BBB">
              <w:rPr>
                <w:rFonts w:ascii="Lotus Linotype" w:hAnsi="Lotus Linotype" w:cs="Lotus Linotype" w:hint="cs"/>
                <w:sz w:val="24"/>
                <w:szCs w:val="24"/>
                <w:rtl/>
                <w:lang w:bidi="ar-EG"/>
              </w:rPr>
              <w:t xml:space="preserve"> لدول العينة (ريال سعودي)</w:t>
            </w:r>
          </w:p>
        </w:tc>
        <w:tc>
          <w:tcPr>
            <w:tcW w:w="2131" w:type="dxa"/>
            <w:tcBorders>
              <w:top w:val="double" w:sz="4" w:space="0" w:color="auto"/>
              <w:bottom w:val="double" w:sz="4" w:space="0" w:color="auto"/>
            </w:tcBorders>
            <w:vAlign w:val="center"/>
          </w:tcPr>
          <w:p w:rsidR="00FD1D0A" w:rsidRPr="00322BBB" w:rsidRDefault="00FD1D0A" w:rsidP="00322BBB">
            <w:pPr>
              <w:bidi/>
              <w:ind w:firstLine="0"/>
              <w:jc w:val="center"/>
              <w:rPr>
                <w:rFonts w:ascii="Lotus Linotype" w:hAnsi="Lotus Linotype" w:cs="Lotus Linotype"/>
                <w:sz w:val="24"/>
                <w:szCs w:val="24"/>
                <w:rtl/>
                <w:lang w:bidi="ar-EG"/>
              </w:rPr>
            </w:pPr>
            <w:r w:rsidRPr="00322BBB">
              <w:rPr>
                <w:rFonts w:ascii="Lotus Linotype" w:hAnsi="Lotus Linotype" w:cs="Lotus Linotype" w:hint="cs"/>
                <w:sz w:val="24"/>
                <w:szCs w:val="24"/>
                <w:rtl/>
                <w:lang w:bidi="ar-EG"/>
              </w:rPr>
              <w:t>نسبة %</w:t>
            </w:r>
          </w:p>
        </w:tc>
      </w:tr>
      <w:tr w:rsidR="00FD1D0A" w:rsidRPr="00322BBB" w:rsidTr="00322BBB">
        <w:trPr>
          <w:jc w:val="center"/>
        </w:trPr>
        <w:tc>
          <w:tcPr>
            <w:tcW w:w="617" w:type="dxa"/>
            <w:tcBorders>
              <w:top w:val="double" w:sz="4" w:space="0" w:color="auto"/>
            </w:tcBorders>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w:t>
            </w:r>
          </w:p>
        </w:tc>
        <w:tc>
          <w:tcPr>
            <w:tcW w:w="3643" w:type="dxa"/>
            <w:tcBorders>
              <w:top w:val="double" w:sz="4" w:space="0" w:color="auto"/>
            </w:tcBorders>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تكاليف التنقلات</w:t>
            </w:r>
          </w:p>
        </w:tc>
        <w:tc>
          <w:tcPr>
            <w:tcW w:w="2131" w:type="dxa"/>
            <w:tcBorders>
              <w:top w:val="double" w:sz="4" w:space="0" w:color="auto"/>
            </w:tcBorders>
            <w:vAlign w:val="center"/>
          </w:tcPr>
          <w:p w:rsidR="00FD1D0A" w:rsidRPr="00322BBB" w:rsidRDefault="002C469D"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3327</w:t>
            </w:r>
          </w:p>
        </w:tc>
        <w:tc>
          <w:tcPr>
            <w:tcW w:w="2131" w:type="dxa"/>
            <w:tcBorders>
              <w:top w:val="double" w:sz="4" w:space="0" w:color="auto"/>
            </w:tcBorders>
            <w:vAlign w:val="center"/>
          </w:tcPr>
          <w:p w:rsidR="00FD1D0A" w:rsidRPr="00322BBB" w:rsidRDefault="00E05432"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53.3%</w:t>
            </w:r>
          </w:p>
        </w:tc>
      </w:tr>
      <w:tr w:rsidR="00FD1D0A" w:rsidRPr="00322BBB" w:rsidTr="00322BBB">
        <w:trPr>
          <w:jc w:val="center"/>
        </w:trPr>
        <w:tc>
          <w:tcPr>
            <w:tcW w:w="617" w:type="dxa"/>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w:t>
            </w:r>
          </w:p>
        </w:tc>
        <w:tc>
          <w:tcPr>
            <w:tcW w:w="3643" w:type="dxa"/>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تكاليف الإسكان (مكة، المدينة، المشاعر)</w:t>
            </w:r>
          </w:p>
        </w:tc>
        <w:tc>
          <w:tcPr>
            <w:tcW w:w="2131" w:type="dxa"/>
            <w:vAlign w:val="center"/>
          </w:tcPr>
          <w:p w:rsidR="00FD1D0A" w:rsidRPr="00322BBB" w:rsidRDefault="002C469D"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1579</w:t>
            </w:r>
          </w:p>
        </w:tc>
        <w:tc>
          <w:tcPr>
            <w:tcW w:w="2131" w:type="dxa"/>
            <w:vAlign w:val="center"/>
          </w:tcPr>
          <w:p w:rsidR="00FD1D0A" w:rsidRPr="00322BBB" w:rsidRDefault="00E05432"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25.3%</w:t>
            </w:r>
          </w:p>
        </w:tc>
      </w:tr>
      <w:tr w:rsidR="00FD1D0A" w:rsidRPr="00322BBB" w:rsidTr="00322BBB">
        <w:trPr>
          <w:jc w:val="center"/>
        </w:trPr>
        <w:tc>
          <w:tcPr>
            <w:tcW w:w="617" w:type="dxa"/>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lastRenderedPageBreak/>
              <w:t>3</w:t>
            </w:r>
          </w:p>
        </w:tc>
        <w:tc>
          <w:tcPr>
            <w:tcW w:w="3643" w:type="dxa"/>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تكاليف الطعام</w:t>
            </w:r>
          </w:p>
        </w:tc>
        <w:tc>
          <w:tcPr>
            <w:tcW w:w="2131" w:type="dxa"/>
            <w:vAlign w:val="center"/>
          </w:tcPr>
          <w:p w:rsidR="00FD1D0A" w:rsidRPr="00322BBB" w:rsidRDefault="002C469D"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854</w:t>
            </w:r>
          </w:p>
        </w:tc>
        <w:tc>
          <w:tcPr>
            <w:tcW w:w="2131" w:type="dxa"/>
            <w:vAlign w:val="center"/>
          </w:tcPr>
          <w:p w:rsidR="00FD1D0A" w:rsidRPr="00322BBB" w:rsidRDefault="00E05432"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13.7%</w:t>
            </w:r>
          </w:p>
        </w:tc>
      </w:tr>
      <w:tr w:rsidR="00FD1D0A" w:rsidRPr="00322BBB" w:rsidTr="00322BBB">
        <w:trPr>
          <w:jc w:val="center"/>
        </w:trPr>
        <w:tc>
          <w:tcPr>
            <w:tcW w:w="617" w:type="dxa"/>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4</w:t>
            </w:r>
          </w:p>
        </w:tc>
        <w:tc>
          <w:tcPr>
            <w:tcW w:w="3643" w:type="dxa"/>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خدمات الطعام</w:t>
            </w:r>
          </w:p>
        </w:tc>
        <w:tc>
          <w:tcPr>
            <w:tcW w:w="2131" w:type="dxa"/>
            <w:vAlign w:val="center"/>
          </w:tcPr>
          <w:p w:rsidR="00FD1D0A" w:rsidRPr="00322BBB" w:rsidRDefault="002C469D"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294</w:t>
            </w:r>
          </w:p>
        </w:tc>
        <w:tc>
          <w:tcPr>
            <w:tcW w:w="2131" w:type="dxa"/>
            <w:vAlign w:val="center"/>
          </w:tcPr>
          <w:p w:rsidR="00FD1D0A" w:rsidRPr="00322BBB" w:rsidRDefault="00E05432"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4.7%</w:t>
            </w:r>
          </w:p>
        </w:tc>
      </w:tr>
      <w:tr w:rsidR="00FD1D0A" w:rsidRPr="00322BBB" w:rsidTr="00E05432">
        <w:trPr>
          <w:jc w:val="center"/>
        </w:trPr>
        <w:tc>
          <w:tcPr>
            <w:tcW w:w="617" w:type="dxa"/>
            <w:tcBorders>
              <w:bottom w:val="double" w:sz="4" w:space="0" w:color="auto"/>
            </w:tcBorders>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w:t>
            </w:r>
          </w:p>
        </w:tc>
        <w:tc>
          <w:tcPr>
            <w:tcW w:w="3643" w:type="dxa"/>
            <w:tcBorders>
              <w:bottom w:val="double" w:sz="4" w:space="0" w:color="auto"/>
            </w:tcBorders>
            <w:vAlign w:val="center"/>
          </w:tcPr>
          <w:p w:rsidR="00FD1D0A" w:rsidRPr="00322BBB" w:rsidRDefault="00016736"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مستلزمات الإحرام والطوارئ</w:t>
            </w:r>
          </w:p>
        </w:tc>
        <w:tc>
          <w:tcPr>
            <w:tcW w:w="2131" w:type="dxa"/>
            <w:tcBorders>
              <w:bottom w:val="double" w:sz="4" w:space="0" w:color="auto"/>
            </w:tcBorders>
            <w:vAlign w:val="center"/>
          </w:tcPr>
          <w:p w:rsidR="00FD1D0A" w:rsidRPr="00322BBB" w:rsidRDefault="002C469D"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182</w:t>
            </w:r>
          </w:p>
        </w:tc>
        <w:tc>
          <w:tcPr>
            <w:tcW w:w="2131" w:type="dxa"/>
            <w:tcBorders>
              <w:bottom w:val="double" w:sz="4" w:space="0" w:color="auto"/>
            </w:tcBorders>
            <w:vAlign w:val="center"/>
          </w:tcPr>
          <w:p w:rsidR="00FD1D0A" w:rsidRPr="00322BBB" w:rsidRDefault="00E05432"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3.0%</w:t>
            </w:r>
          </w:p>
        </w:tc>
      </w:tr>
      <w:tr w:rsidR="002C469D" w:rsidRPr="00322BBB" w:rsidTr="00E05432">
        <w:trPr>
          <w:jc w:val="center"/>
        </w:trPr>
        <w:tc>
          <w:tcPr>
            <w:tcW w:w="4260" w:type="dxa"/>
            <w:gridSpan w:val="2"/>
            <w:tcBorders>
              <w:top w:val="double" w:sz="4" w:space="0" w:color="auto"/>
              <w:bottom w:val="double" w:sz="4" w:space="0" w:color="auto"/>
            </w:tcBorders>
            <w:vAlign w:val="center"/>
          </w:tcPr>
          <w:p w:rsidR="002C469D" w:rsidRPr="00322BBB" w:rsidRDefault="002C469D" w:rsidP="00322BBB">
            <w:pPr>
              <w:bidi/>
              <w:ind w:firstLine="0"/>
              <w:jc w:val="center"/>
              <w:rPr>
                <w:rFonts w:ascii="Lotus Linotype" w:hAnsi="Lotus Linotype" w:cs="Lotus Linotype"/>
                <w:sz w:val="24"/>
                <w:szCs w:val="24"/>
                <w:rtl/>
                <w:lang w:bidi="ar-EG"/>
              </w:rPr>
            </w:pPr>
          </w:p>
        </w:tc>
        <w:tc>
          <w:tcPr>
            <w:tcW w:w="2131" w:type="dxa"/>
            <w:tcBorders>
              <w:top w:val="double" w:sz="4" w:space="0" w:color="auto"/>
              <w:bottom w:val="double" w:sz="4" w:space="0" w:color="auto"/>
            </w:tcBorders>
            <w:vAlign w:val="center"/>
          </w:tcPr>
          <w:p w:rsidR="002C469D" w:rsidRPr="00322BBB" w:rsidRDefault="002C469D"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6232</w:t>
            </w:r>
          </w:p>
        </w:tc>
        <w:tc>
          <w:tcPr>
            <w:tcW w:w="2131" w:type="dxa"/>
            <w:tcBorders>
              <w:top w:val="double" w:sz="4" w:space="0" w:color="auto"/>
              <w:bottom w:val="double" w:sz="4" w:space="0" w:color="auto"/>
            </w:tcBorders>
            <w:vAlign w:val="center"/>
          </w:tcPr>
          <w:p w:rsidR="002C469D" w:rsidRPr="00322BBB" w:rsidRDefault="00E05432" w:rsidP="00322BB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100%</w:t>
            </w:r>
          </w:p>
        </w:tc>
      </w:tr>
    </w:tbl>
    <w:p w:rsidR="00FD1D0A" w:rsidRDefault="00FD1D0A" w:rsidP="00FD1D0A">
      <w:pPr>
        <w:bidi/>
        <w:ind w:firstLine="0"/>
        <w:rPr>
          <w:rFonts w:ascii="Lotus Linotype" w:hAnsi="Lotus Linotype" w:cs="Lotus Linotype"/>
          <w:rtl/>
          <w:lang w:bidi="ar-EG"/>
        </w:rPr>
      </w:pPr>
      <w:r w:rsidRPr="00FD1D0A">
        <w:rPr>
          <w:rFonts w:ascii="Lotus Linotype" w:hAnsi="Lotus Linotype" w:cs="Lotus Linotype" w:hint="cs"/>
          <w:rtl/>
          <w:lang w:bidi="ar-EG"/>
        </w:rPr>
        <w:t xml:space="preserve"> </w:t>
      </w:r>
    </w:p>
    <w:p w:rsidR="00FD1D0A" w:rsidRPr="00FD1D0A" w:rsidRDefault="00E05432" w:rsidP="00FD1D0A">
      <w:pPr>
        <w:bidi/>
        <w:rPr>
          <w:rFonts w:ascii="Lotus Linotype" w:hAnsi="Lotus Linotype" w:cs="Lotus Linotype"/>
          <w:lang w:bidi="ar-EG"/>
        </w:rPr>
      </w:pPr>
      <w:r>
        <w:rPr>
          <w:rFonts w:ascii="Lotus Linotype" w:hAnsi="Lotus Linotype" w:cs="Lotus Linotype" w:hint="cs"/>
          <w:rtl/>
          <w:lang w:bidi="ar-EG"/>
        </w:rPr>
        <w:t xml:space="preserve">ومن الواضح بالجدول أعلاه أن أهم عناصر حد الاستطاعة هي التنقلات والتي تمثل 53.3%، يليها تكاليف الإسكان التي تمثل 25.3%، ثم تكاليف الطعام التي تمثل 13.7%، وتعد هذه العناصر الثلاثة هي الأهم في حد الاستطاعة حيث تمثل 92.3% </w:t>
      </w:r>
      <w:r w:rsidR="002C2944">
        <w:rPr>
          <w:rFonts w:ascii="Lotus Linotype" w:hAnsi="Lotus Linotype" w:cs="Lotus Linotype" w:hint="cs"/>
          <w:rtl/>
          <w:lang w:bidi="ar-EG"/>
        </w:rPr>
        <w:t>م</w:t>
      </w:r>
      <w:r>
        <w:rPr>
          <w:rFonts w:ascii="Lotus Linotype" w:hAnsi="Lotus Linotype" w:cs="Lotus Linotype" w:hint="cs"/>
          <w:rtl/>
          <w:lang w:bidi="ar-EG"/>
        </w:rPr>
        <w:t>جتمعة.</w:t>
      </w:r>
    </w:p>
    <w:p w:rsidR="00391B41" w:rsidRPr="00391B41" w:rsidRDefault="002C2944" w:rsidP="002A2B86">
      <w:pPr>
        <w:pStyle w:val="ListParagraph"/>
        <w:numPr>
          <w:ilvl w:val="0"/>
          <w:numId w:val="18"/>
        </w:numPr>
        <w:bidi/>
        <w:rPr>
          <w:rFonts w:cs="Times New Roman"/>
          <w:rtl/>
          <w:lang w:bidi="ar-EG"/>
        </w:rPr>
      </w:pPr>
      <w:r>
        <w:rPr>
          <w:rFonts w:ascii="Lotus Linotype" w:hAnsi="Lotus Linotype" w:cs="Lotus Linotype" w:hint="cs"/>
          <w:rtl/>
          <w:lang w:bidi="ar-EG"/>
        </w:rPr>
        <w:t>تحديد مدى الالتزام بحد الاستطاعة: أثبتت الدراسة أنه لم يلتزم كل الحجاج بحد الاستطاعة حيث تراوحت نسبة عدم الالتزام بين 20% - 25% من عينة الحجاج عام 1420هـ.</w:t>
      </w:r>
      <w:bookmarkStart w:id="0" w:name="_GoBack"/>
      <w:bookmarkEnd w:id="0"/>
    </w:p>
    <w:sectPr w:rsidR="00391B41" w:rsidRPr="00391B41"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A" w:rsidRDefault="00070CCA" w:rsidP="006F5073">
      <w:r>
        <w:separator/>
      </w:r>
    </w:p>
  </w:endnote>
  <w:endnote w:type="continuationSeparator" w:id="0">
    <w:p w:rsidR="00070CCA" w:rsidRDefault="00070CCA"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A" w:rsidRDefault="00070CCA" w:rsidP="00DF5A09">
      <w:pPr>
        <w:bidi/>
        <w:ind w:firstLine="0"/>
      </w:pPr>
      <w:r>
        <w:separator/>
      </w:r>
    </w:p>
  </w:footnote>
  <w:footnote w:type="continuationSeparator" w:id="0">
    <w:p w:rsidR="00070CCA" w:rsidRDefault="00070CCA"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6"/>
  </w:num>
  <w:num w:numId="5">
    <w:abstractNumId w:val="12"/>
  </w:num>
  <w:num w:numId="6">
    <w:abstractNumId w:val="3"/>
  </w:num>
  <w:num w:numId="7">
    <w:abstractNumId w:val="0"/>
  </w:num>
  <w:num w:numId="8">
    <w:abstractNumId w:val="1"/>
  </w:num>
  <w:num w:numId="9">
    <w:abstractNumId w:val="14"/>
  </w:num>
  <w:num w:numId="10">
    <w:abstractNumId w:val="16"/>
  </w:num>
  <w:num w:numId="11">
    <w:abstractNumId w:val="5"/>
  </w:num>
  <w:num w:numId="12">
    <w:abstractNumId w:val="19"/>
  </w:num>
  <w:num w:numId="13">
    <w:abstractNumId w:val="9"/>
  </w:num>
  <w:num w:numId="14">
    <w:abstractNumId w:val="13"/>
  </w:num>
  <w:num w:numId="15">
    <w:abstractNumId w:val="10"/>
  </w:num>
  <w:num w:numId="16">
    <w:abstractNumId w:val="17"/>
  </w:num>
  <w:num w:numId="17">
    <w:abstractNumId w:val="4"/>
  </w:num>
  <w:num w:numId="18">
    <w:abstractNumId w:val="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0CCA"/>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66DD"/>
    <w:rsid w:val="000F754A"/>
    <w:rsid w:val="00101E6B"/>
    <w:rsid w:val="00103270"/>
    <w:rsid w:val="0010743E"/>
    <w:rsid w:val="00120A54"/>
    <w:rsid w:val="00142555"/>
    <w:rsid w:val="0014736F"/>
    <w:rsid w:val="00151911"/>
    <w:rsid w:val="00154A84"/>
    <w:rsid w:val="0016072D"/>
    <w:rsid w:val="00161765"/>
    <w:rsid w:val="00161E21"/>
    <w:rsid w:val="00171E9B"/>
    <w:rsid w:val="00172A83"/>
    <w:rsid w:val="00181891"/>
    <w:rsid w:val="00181A1A"/>
    <w:rsid w:val="001837E8"/>
    <w:rsid w:val="001924BB"/>
    <w:rsid w:val="0019287C"/>
    <w:rsid w:val="001942A3"/>
    <w:rsid w:val="0019433C"/>
    <w:rsid w:val="001A256B"/>
    <w:rsid w:val="001A78A2"/>
    <w:rsid w:val="001B41B0"/>
    <w:rsid w:val="001B658C"/>
    <w:rsid w:val="001B7BC8"/>
    <w:rsid w:val="001C0596"/>
    <w:rsid w:val="001C1400"/>
    <w:rsid w:val="001C4EF8"/>
    <w:rsid w:val="001C5CAE"/>
    <w:rsid w:val="001D08A5"/>
    <w:rsid w:val="001D659D"/>
    <w:rsid w:val="001D65E2"/>
    <w:rsid w:val="001D6B92"/>
    <w:rsid w:val="001D754C"/>
    <w:rsid w:val="001E5659"/>
    <w:rsid w:val="001F6542"/>
    <w:rsid w:val="002200CA"/>
    <w:rsid w:val="00231F03"/>
    <w:rsid w:val="0023429A"/>
    <w:rsid w:val="002442B9"/>
    <w:rsid w:val="00247106"/>
    <w:rsid w:val="00251157"/>
    <w:rsid w:val="0025421B"/>
    <w:rsid w:val="00257A4D"/>
    <w:rsid w:val="00262643"/>
    <w:rsid w:val="00264BBB"/>
    <w:rsid w:val="00270774"/>
    <w:rsid w:val="00275591"/>
    <w:rsid w:val="00277859"/>
    <w:rsid w:val="002915A1"/>
    <w:rsid w:val="00291B79"/>
    <w:rsid w:val="00291EE7"/>
    <w:rsid w:val="0029382A"/>
    <w:rsid w:val="002949EB"/>
    <w:rsid w:val="002A232E"/>
    <w:rsid w:val="002A2B86"/>
    <w:rsid w:val="002B53E3"/>
    <w:rsid w:val="002C0AF9"/>
    <w:rsid w:val="002C26DF"/>
    <w:rsid w:val="002C2944"/>
    <w:rsid w:val="002C2CBB"/>
    <w:rsid w:val="002C469D"/>
    <w:rsid w:val="002C4D6D"/>
    <w:rsid w:val="002E085E"/>
    <w:rsid w:val="002E1594"/>
    <w:rsid w:val="002E22EE"/>
    <w:rsid w:val="002E39A0"/>
    <w:rsid w:val="002E6BBF"/>
    <w:rsid w:val="003011B4"/>
    <w:rsid w:val="003029F0"/>
    <w:rsid w:val="003112DF"/>
    <w:rsid w:val="00311869"/>
    <w:rsid w:val="00314DFD"/>
    <w:rsid w:val="00315CEE"/>
    <w:rsid w:val="00316FB5"/>
    <w:rsid w:val="0032058F"/>
    <w:rsid w:val="00322BBB"/>
    <w:rsid w:val="00327909"/>
    <w:rsid w:val="0033146A"/>
    <w:rsid w:val="00333EF8"/>
    <w:rsid w:val="00341C72"/>
    <w:rsid w:val="00343E7A"/>
    <w:rsid w:val="00344CB7"/>
    <w:rsid w:val="00345159"/>
    <w:rsid w:val="00345A17"/>
    <w:rsid w:val="00345C5E"/>
    <w:rsid w:val="00346742"/>
    <w:rsid w:val="003506E7"/>
    <w:rsid w:val="00350DB0"/>
    <w:rsid w:val="00355B9D"/>
    <w:rsid w:val="00356207"/>
    <w:rsid w:val="00363CF8"/>
    <w:rsid w:val="003652A6"/>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5D55"/>
    <w:rsid w:val="004B614A"/>
    <w:rsid w:val="004C11FB"/>
    <w:rsid w:val="004C7DA9"/>
    <w:rsid w:val="004D0CDF"/>
    <w:rsid w:val="004D4F11"/>
    <w:rsid w:val="004D4F29"/>
    <w:rsid w:val="004E24B5"/>
    <w:rsid w:val="004E39C0"/>
    <w:rsid w:val="004E518A"/>
    <w:rsid w:val="004E73EA"/>
    <w:rsid w:val="004F7C3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6DDC"/>
    <w:rsid w:val="00581A61"/>
    <w:rsid w:val="005841D8"/>
    <w:rsid w:val="005853A5"/>
    <w:rsid w:val="00585CFA"/>
    <w:rsid w:val="005A0960"/>
    <w:rsid w:val="005A4745"/>
    <w:rsid w:val="005A5CF7"/>
    <w:rsid w:val="005B1A57"/>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520A"/>
    <w:rsid w:val="00621452"/>
    <w:rsid w:val="00625072"/>
    <w:rsid w:val="0063652F"/>
    <w:rsid w:val="00637A9E"/>
    <w:rsid w:val="00642E26"/>
    <w:rsid w:val="00643534"/>
    <w:rsid w:val="00645DDE"/>
    <w:rsid w:val="00652CA4"/>
    <w:rsid w:val="00681151"/>
    <w:rsid w:val="00681CB5"/>
    <w:rsid w:val="00686557"/>
    <w:rsid w:val="00690E9C"/>
    <w:rsid w:val="00692190"/>
    <w:rsid w:val="00695B2F"/>
    <w:rsid w:val="006A0029"/>
    <w:rsid w:val="006A027D"/>
    <w:rsid w:val="006A5649"/>
    <w:rsid w:val="006B08C6"/>
    <w:rsid w:val="006B32E9"/>
    <w:rsid w:val="006B33CE"/>
    <w:rsid w:val="006B5615"/>
    <w:rsid w:val="006B7799"/>
    <w:rsid w:val="006C49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25522"/>
    <w:rsid w:val="008269D7"/>
    <w:rsid w:val="00832A84"/>
    <w:rsid w:val="00843F29"/>
    <w:rsid w:val="00847110"/>
    <w:rsid w:val="00851568"/>
    <w:rsid w:val="008518CF"/>
    <w:rsid w:val="00851AD6"/>
    <w:rsid w:val="008540D7"/>
    <w:rsid w:val="008554BA"/>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BF6"/>
    <w:rsid w:val="00991550"/>
    <w:rsid w:val="00992389"/>
    <w:rsid w:val="009929A1"/>
    <w:rsid w:val="00993BB1"/>
    <w:rsid w:val="00994099"/>
    <w:rsid w:val="009A0309"/>
    <w:rsid w:val="009A107B"/>
    <w:rsid w:val="009A3FB5"/>
    <w:rsid w:val="009A4A44"/>
    <w:rsid w:val="009B1C18"/>
    <w:rsid w:val="009B2B12"/>
    <w:rsid w:val="009B5EE0"/>
    <w:rsid w:val="009C0DF6"/>
    <w:rsid w:val="009C3DE1"/>
    <w:rsid w:val="009C609C"/>
    <w:rsid w:val="009D3B73"/>
    <w:rsid w:val="009E0B56"/>
    <w:rsid w:val="009E51B0"/>
    <w:rsid w:val="00A002A9"/>
    <w:rsid w:val="00A161C9"/>
    <w:rsid w:val="00A1715B"/>
    <w:rsid w:val="00A20099"/>
    <w:rsid w:val="00A21D9E"/>
    <w:rsid w:val="00A24F5A"/>
    <w:rsid w:val="00A265CA"/>
    <w:rsid w:val="00A30BD5"/>
    <w:rsid w:val="00A33FBC"/>
    <w:rsid w:val="00A42C4F"/>
    <w:rsid w:val="00A45C6C"/>
    <w:rsid w:val="00A47DDA"/>
    <w:rsid w:val="00A508B5"/>
    <w:rsid w:val="00A5467E"/>
    <w:rsid w:val="00A60CAD"/>
    <w:rsid w:val="00A8237A"/>
    <w:rsid w:val="00A8372F"/>
    <w:rsid w:val="00A951A4"/>
    <w:rsid w:val="00A974F0"/>
    <w:rsid w:val="00A97F7A"/>
    <w:rsid w:val="00AA1D62"/>
    <w:rsid w:val="00AA35F5"/>
    <w:rsid w:val="00AA6F3E"/>
    <w:rsid w:val="00AB27F0"/>
    <w:rsid w:val="00AB304A"/>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7CA3"/>
    <w:rsid w:val="00BF03BA"/>
    <w:rsid w:val="00BF44F0"/>
    <w:rsid w:val="00BF7FA0"/>
    <w:rsid w:val="00C10E3A"/>
    <w:rsid w:val="00C10F2E"/>
    <w:rsid w:val="00C1182F"/>
    <w:rsid w:val="00C24976"/>
    <w:rsid w:val="00C2698E"/>
    <w:rsid w:val="00C341C2"/>
    <w:rsid w:val="00C3440E"/>
    <w:rsid w:val="00C4315E"/>
    <w:rsid w:val="00C46DA8"/>
    <w:rsid w:val="00C50265"/>
    <w:rsid w:val="00C60334"/>
    <w:rsid w:val="00C65259"/>
    <w:rsid w:val="00C7091A"/>
    <w:rsid w:val="00C77604"/>
    <w:rsid w:val="00C81E2D"/>
    <w:rsid w:val="00C82FFD"/>
    <w:rsid w:val="00C832EE"/>
    <w:rsid w:val="00C858DD"/>
    <w:rsid w:val="00C8676D"/>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5523"/>
    <w:rsid w:val="00D80736"/>
    <w:rsid w:val="00D840BA"/>
    <w:rsid w:val="00D90AB1"/>
    <w:rsid w:val="00D943AF"/>
    <w:rsid w:val="00DA14EF"/>
    <w:rsid w:val="00DB2ED8"/>
    <w:rsid w:val="00DB3D85"/>
    <w:rsid w:val="00DD329E"/>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75E8F"/>
    <w:rsid w:val="00E76348"/>
    <w:rsid w:val="00E860C1"/>
    <w:rsid w:val="00E86C0A"/>
    <w:rsid w:val="00E90453"/>
    <w:rsid w:val="00E93ECA"/>
    <w:rsid w:val="00E97265"/>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64A3"/>
    <w:rsid w:val="00FB0B2E"/>
    <w:rsid w:val="00FB0F80"/>
    <w:rsid w:val="00FB4D66"/>
    <w:rsid w:val="00FB73D0"/>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D21B-DF52-4BBF-BF08-0F0F3FFA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Egn. Mostafa</dc:creator>
  <cp:keywords/>
  <dc:description/>
  <cp:lastModifiedBy>Egn. Mostafa</cp:lastModifiedBy>
  <cp:revision>236</cp:revision>
  <dcterms:created xsi:type="dcterms:W3CDTF">2019-09-16T12:38:00Z</dcterms:created>
  <dcterms:modified xsi:type="dcterms:W3CDTF">2020-01-30T05:15:00Z</dcterms:modified>
</cp:coreProperties>
</file>